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92" w:rsidRDefault="006B2E1D">
      <w:pPr>
        <w:spacing w:before="74"/>
        <w:ind w:left="157"/>
        <w:rPr>
          <w:rFonts w:ascii="Cambria"/>
          <w:sz w:val="52"/>
        </w:rPr>
      </w:pPr>
      <w:r>
        <w:rPr>
          <w:rFonts w:ascii="Cambria"/>
          <w:color w:val="17365D"/>
          <w:sz w:val="52"/>
        </w:rPr>
        <w:t xml:space="preserve">Broughton and Old Dalby Parish </w:t>
      </w:r>
      <w:proofErr w:type="spellStart"/>
      <w:r>
        <w:rPr>
          <w:rFonts w:ascii="Cambria"/>
          <w:color w:val="17365D"/>
          <w:sz w:val="52"/>
        </w:rPr>
        <w:t>Neighbourhood</w:t>
      </w:r>
      <w:proofErr w:type="spellEnd"/>
      <w:r>
        <w:rPr>
          <w:rFonts w:ascii="Cambria"/>
          <w:color w:val="17365D"/>
          <w:sz w:val="52"/>
        </w:rPr>
        <w:t xml:space="preserve"> Plan 2017-2036</w:t>
      </w:r>
    </w:p>
    <w:p w:rsidR="00295392" w:rsidRDefault="00295392">
      <w:pPr>
        <w:pStyle w:val="BodyText"/>
        <w:rPr>
          <w:rFonts w:ascii="Cambria"/>
          <w:sz w:val="20"/>
        </w:rPr>
      </w:pPr>
    </w:p>
    <w:p w:rsidR="00295392" w:rsidRDefault="00295392">
      <w:pPr>
        <w:pStyle w:val="BodyText"/>
        <w:rPr>
          <w:rFonts w:ascii="Cambria"/>
          <w:sz w:val="20"/>
        </w:rPr>
      </w:pPr>
    </w:p>
    <w:p w:rsidR="00295392" w:rsidRDefault="008D31B3">
      <w:pPr>
        <w:pStyle w:val="BodyText"/>
        <w:spacing w:before="1"/>
        <w:rPr>
          <w:rFonts w:ascii="Cambria"/>
          <w:sz w:val="15"/>
        </w:rPr>
      </w:pPr>
      <w:r>
        <w:rPr>
          <w:noProof/>
          <w:lang w:val="en-GB" w:eastAsia="en-GB"/>
        </w:rPr>
        <mc:AlternateContent>
          <mc:Choice Requires="wps">
            <w:drawing>
              <wp:anchor distT="0" distB="0" distL="0" distR="0" simplePos="0" relativeHeight="251657216" behindDoc="0" locked="0" layoutInCell="1" allowOverlap="1">
                <wp:simplePos x="0" y="0"/>
                <wp:positionH relativeFrom="page">
                  <wp:posOffset>894715</wp:posOffset>
                </wp:positionH>
                <wp:positionV relativeFrom="paragraph">
                  <wp:posOffset>144145</wp:posOffset>
                </wp:positionV>
                <wp:extent cx="5767070" cy="0"/>
                <wp:effectExtent l="8890" t="12065" r="15240" b="6985"/>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12192">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7DB32"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45pt,11.35pt" to="524.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" strokecolor="#4f81bd" strokeweight=".96pt">
                <w10:wrap type="topAndBottom" anchorx="page"/>
              </v:line>
            </w:pict>
          </mc:Fallback>
        </mc:AlternateContent>
      </w:r>
    </w:p>
    <w:p w:rsidR="00295392" w:rsidRDefault="00295392">
      <w:pPr>
        <w:pStyle w:val="BodyText"/>
        <w:rPr>
          <w:rFonts w:ascii="Cambria"/>
          <w:sz w:val="20"/>
        </w:rPr>
      </w:pPr>
    </w:p>
    <w:p w:rsidR="00295392" w:rsidRDefault="00295392">
      <w:pPr>
        <w:pStyle w:val="BodyText"/>
        <w:rPr>
          <w:rFonts w:ascii="Cambria"/>
          <w:sz w:val="20"/>
        </w:rPr>
      </w:pPr>
    </w:p>
    <w:p w:rsidR="00295392" w:rsidRDefault="00295392">
      <w:pPr>
        <w:pStyle w:val="BodyText"/>
        <w:rPr>
          <w:rFonts w:ascii="Cambria"/>
          <w:sz w:val="20"/>
        </w:rPr>
      </w:pPr>
    </w:p>
    <w:p w:rsidR="00295392" w:rsidRDefault="00295392">
      <w:pPr>
        <w:pStyle w:val="BodyText"/>
        <w:rPr>
          <w:rFonts w:ascii="Cambria"/>
          <w:sz w:val="20"/>
        </w:rPr>
      </w:pPr>
    </w:p>
    <w:p w:rsidR="00295392" w:rsidRDefault="00295392">
      <w:pPr>
        <w:pStyle w:val="BodyText"/>
        <w:rPr>
          <w:rFonts w:ascii="Cambria"/>
          <w:sz w:val="20"/>
        </w:rPr>
      </w:pPr>
    </w:p>
    <w:p w:rsidR="00295392" w:rsidRDefault="00295392">
      <w:pPr>
        <w:pStyle w:val="BodyText"/>
        <w:rPr>
          <w:rFonts w:ascii="Cambria"/>
          <w:sz w:val="20"/>
        </w:rPr>
      </w:pPr>
    </w:p>
    <w:p w:rsidR="00295392" w:rsidRDefault="00295392">
      <w:pPr>
        <w:pStyle w:val="BodyText"/>
        <w:rPr>
          <w:rFonts w:ascii="Cambria"/>
          <w:sz w:val="20"/>
        </w:rPr>
      </w:pPr>
    </w:p>
    <w:p w:rsidR="00295392" w:rsidRDefault="00295392">
      <w:pPr>
        <w:pStyle w:val="BodyText"/>
        <w:rPr>
          <w:rFonts w:ascii="Cambria"/>
          <w:sz w:val="20"/>
        </w:rPr>
      </w:pPr>
    </w:p>
    <w:p w:rsidR="00295392" w:rsidRDefault="00295392">
      <w:pPr>
        <w:pStyle w:val="BodyText"/>
        <w:rPr>
          <w:rFonts w:ascii="Cambria"/>
          <w:sz w:val="20"/>
        </w:rPr>
      </w:pPr>
    </w:p>
    <w:p w:rsidR="00295392" w:rsidRDefault="00295392">
      <w:pPr>
        <w:pStyle w:val="BodyText"/>
        <w:rPr>
          <w:rFonts w:ascii="Cambria"/>
          <w:sz w:val="20"/>
        </w:rPr>
      </w:pPr>
    </w:p>
    <w:p w:rsidR="00295392" w:rsidRDefault="00295392">
      <w:pPr>
        <w:pStyle w:val="BodyText"/>
        <w:rPr>
          <w:rFonts w:ascii="Cambria"/>
          <w:sz w:val="20"/>
        </w:rPr>
      </w:pPr>
    </w:p>
    <w:p w:rsidR="00295392" w:rsidRDefault="00295392">
      <w:pPr>
        <w:pStyle w:val="BodyText"/>
        <w:rPr>
          <w:rFonts w:ascii="Cambria"/>
          <w:sz w:val="20"/>
        </w:rPr>
      </w:pPr>
    </w:p>
    <w:p w:rsidR="00295392" w:rsidRDefault="00295392">
      <w:pPr>
        <w:pStyle w:val="BodyText"/>
        <w:rPr>
          <w:rFonts w:ascii="Cambria"/>
          <w:sz w:val="20"/>
        </w:rPr>
      </w:pPr>
    </w:p>
    <w:p w:rsidR="00295392" w:rsidRDefault="00295392">
      <w:pPr>
        <w:pStyle w:val="BodyText"/>
        <w:rPr>
          <w:rFonts w:ascii="Cambria"/>
          <w:sz w:val="29"/>
        </w:rPr>
      </w:pPr>
    </w:p>
    <w:p w:rsidR="00295392" w:rsidRDefault="006B2E1D">
      <w:pPr>
        <w:spacing w:before="100" w:line="273" w:lineRule="auto"/>
        <w:ind w:left="157" w:right="2019"/>
        <w:rPr>
          <w:rFonts w:ascii="Cambria"/>
          <w:b/>
          <w:sz w:val="48"/>
        </w:rPr>
      </w:pPr>
      <w:r>
        <w:rPr>
          <w:rFonts w:ascii="Cambria"/>
          <w:b/>
          <w:color w:val="365F91"/>
          <w:sz w:val="48"/>
        </w:rPr>
        <w:t>Questions from the Independent Examiner</w:t>
      </w:r>
    </w:p>
    <w:p w:rsidR="00295392" w:rsidRDefault="00295392">
      <w:pPr>
        <w:pStyle w:val="BodyText"/>
        <w:rPr>
          <w:rFonts w:ascii="Cambria"/>
          <w:b/>
          <w:sz w:val="56"/>
        </w:rPr>
      </w:pPr>
    </w:p>
    <w:p w:rsidR="00295392" w:rsidRDefault="00295392">
      <w:pPr>
        <w:pStyle w:val="BodyText"/>
        <w:rPr>
          <w:rFonts w:ascii="Cambria"/>
          <w:b/>
          <w:sz w:val="56"/>
        </w:rPr>
      </w:pPr>
    </w:p>
    <w:p w:rsidR="00295392" w:rsidRDefault="00295392">
      <w:pPr>
        <w:pStyle w:val="BodyText"/>
        <w:rPr>
          <w:rFonts w:ascii="Cambria"/>
          <w:b/>
          <w:sz w:val="56"/>
        </w:rPr>
      </w:pPr>
    </w:p>
    <w:p w:rsidR="00295392" w:rsidRDefault="00295392">
      <w:pPr>
        <w:pStyle w:val="BodyText"/>
        <w:rPr>
          <w:rFonts w:ascii="Cambria"/>
          <w:b/>
          <w:sz w:val="56"/>
        </w:rPr>
      </w:pPr>
    </w:p>
    <w:p w:rsidR="00295392" w:rsidRDefault="00295392">
      <w:pPr>
        <w:pStyle w:val="BodyText"/>
        <w:rPr>
          <w:rFonts w:ascii="Cambria"/>
          <w:b/>
          <w:sz w:val="56"/>
        </w:rPr>
      </w:pPr>
    </w:p>
    <w:p w:rsidR="00295392" w:rsidRDefault="00295392">
      <w:pPr>
        <w:pStyle w:val="BodyText"/>
        <w:spacing w:before="3"/>
        <w:rPr>
          <w:rFonts w:ascii="Cambria"/>
          <w:b/>
          <w:sz w:val="48"/>
        </w:rPr>
      </w:pPr>
    </w:p>
    <w:p w:rsidR="00295392" w:rsidRDefault="006B2E1D">
      <w:pPr>
        <w:pStyle w:val="Heading1"/>
      </w:pPr>
      <w:r>
        <w:rPr>
          <w:color w:val="365F91"/>
        </w:rPr>
        <w:t>Prepared by</w:t>
      </w:r>
    </w:p>
    <w:p w:rsidR="00295392" w:rsidRDefault="006B2E1D">
      <w:pPr>
        <w:spacing w:before="242"/>
        <w:ind w:left="157"/>
        <w:rPr>
          <w:rFonts w:ascii="Cambria"/>
          <w:b/>
          <w:sz w:val="26"/>
        </w:rPr>
      </w:pPr>
      <w:r>
        <w:rPr>
          <w:rFonts w:ascii="Cambria"/>
          <w:b/>
          <w:color w:val="4F81BD"/>
          <w:sz w:val="26"/>
        </w:rPr>
        <w:t xml:space="preserve">JOHN SLATER </w:t>
      </w:r>
      <w:proofErr w:type="gramStart"/>
      <w:r>
        <w:rPr>
          <w:rFonts w:ascii="Cambria"/>
          <w:b/>
          <w:color w:val="4F81BD"/>
          <w:sz w:val="26"/>
        </w:rPr>
        <w:t>BA(</w:t>
      </w:r>
      <w:proofErr w:type="gramEnd"/>
      <w:r>
        <w:rPr>
          <w:rFonts w:ascii="Cambria"/>
          <w:b/>
          <w:color w:val="4F81BD"/>
          <w:sz w:val="26"/>
        </w:rPr>
        <w:t>Hons), DMS, MRTPI</w:t>
      </w:r>
    </w:p>
    <w:p w:rsidR="00295392" w:rsidRDefault="006B2E1D">
      <w:pPr>
        <w:spacing w:before="246"/>
        <w:ind w:left="157"/>
        <w:rPr>
          <w:rFonts w:ascii="Cambria"/>
          <w:b/>
          <w:sz w:val="26"/>
        </w:rPr>
      </w:pPr>
      <w:r>
        <w:rPr>
          <w:rFonts w:ascii="Cambria"/>
          <w:b/>
          <w:color w:val="4F81BD"/>
          <w:sz w:val="26"/>
        </w:rPr>
        <w:t>John Slater Planning Ltd</w:t>
      </w:r>
    </w:p>
    <w:p w:rsidR="00295392" w:rsidRDefault="00295392">
      <w:pPr>
        <w:pStyle w:val="BodyText"/>
        <w:rPr>
          <w:rFonts w:ascii="Cambria"/>
          <w:b/>
          <w:sz w:val="30"/>
        </w:rPr>
      </w:pPr>
    </w:p>
    <w:p w:rsidR="00295392" w:rsidRDefault="006B2E1D">
      <w:pPr>
        <w:spacing w:before="178"/>
        <w:ind w:left="157"/>
        <w:rPr>
          <w:rFonts w:ascii="Cambria"/>
          <w:b/>
          <w:sz w:val="28"/>
        </w:rPr>
      </w:pPr>
      <w:r>
        <w:rPr>
          <w:rFonts w:ascii="Cambria"/>
          <w:b/>
          <w:color w:val="365F91"/>
          <w:sz w:val="28"/>
        </w:rPr>
        <w:t>14</w:t>
      </w:r>
      <w:proofErr w:type="spellStart"/>
      <w:r>
        <w:rPr>
          <w:rFonts w:ascii="Cambria"/>
          <w:b/>
          <w:color w:val="365F91"/>
          <w:position w:val="7"/>
          <w:sz w:val="17"/>
        </w:rPr>
        <w:t>th</w:t>
      </w:r>
      <w:proofErr w:type="spellEnd"/>
      <w:r>
        <w:rPr>
          <w:rFonts w:ascii="Cambria"/>
          <w:b/>
          <w:color w:val="365F91"/>
          <w:position w:val="7"/>
          <w:sz w:val="17"/>
        </w:rPr>
        <w:t xml:space="preserve"> </w:t>
      </w:r>
      <w:r>
        <w:rPr>
          <w:rFonts w:ascii="Cambria"/>
          <w:b/>
          <w:color w:val="365F91"/>
          <w:sz w:val="28"/>
        </w:rPr>
        <w:t>October 2017</w:t>
      </w:r>
    </w:p>
    <w:p w:rsidR="00295392" w:rsidRDefault="00295392">
      <w:pPr>
        <w:pStyle w:val="BodyText"/>
        <w:rPr>
          <w:rFonts w:ascii="Cambria"/>
          <w:b/>
          <w:sz w:val="20"/>
        </w:rPr>
      </w:pPr>
    </w:p>
    <w:p w:rsidR="00295392" w:rsidRDefault="00295392">
      <w:pPr>
        <w:pStyle w:val="BodyText"/>
        <w:rPr>
          <w:rFonts w:ascii="Cambria"/>
          <w:b/>
          <w:sz w:val="20"/>
        </w:rPr>
      </w:pPr>
    </w:p>
    <w:p w:rsidR="00295392" w:rsidRDefault="00295392">
      <w:pPr>
        <w:pStyle w:val="BodyText"/>
        <w:rPr>
          <w:rFonts w:ascii="Cambria"/>
          <w:b/>
          <w:sz w:val="20"/>
        </w:rPr>
      </w:pPr>
    </w:p>
    <w:p w:rsidR="00295392" w:rsidRDefault="00295392">
      <w:pPr>
        <w:pStyle w:val="BodyText"/>
        <w:rPr>
          <w:rFonts w:ascii="Cambria"/>
          <w:b/>
          <w:sz w:val="20"/>
        </w:rPr>
      </w:pPr>
    </w:p>
    <w:p w:rsidR="00295392" w:rsidRDefault="00295392">
      <w:pPr>
        <w:pStyle w:val="BodyText"/>
        <w:rPr>
          <w:rFonts w:ascii="Cambria"/>
          <w:b/>
          <w:sz w:val="20"/>
        </w:rPr>
      </w:pPr>
    </w:p>
    <w:p w:rsidR="00295392" w:rsidRDefault="008D31B3">
      <w:pPr>
        <w:pStyle w:val="BodyText"/>
        <w:rPr>
          <w:rFonts w:ascii="Cambria"/>
          <w:b/>
          <w:sz w:val="19"/>
        </w:rPr>
      </w:pPr>
      <w:r>
        <w:rPr>
          <w:noProof/>
          <w:lang w:val="en-GB" w:eastAsia="en-GB"/>
        </w:rPr>
        <mc:AlternateContent>
          <mc:Choice Requires="wpg">
            <w:drawing>
              <wp:anchor distT="0" distB="0" distL="0" distR="0" simplePos="0" relativeHeight="251658240" behindDoc="0" locked="0" layoutInCell="1" allowOverlap="1">
                <wp:simplePos x="0" y="0"/>
                <wp:positionH relativeFrom="page">
                  <wp:posOffset>876300</wp:posOffset>
                </wp:positionH>
                <wp:positionV relativeFrom="paragraph">
                  <wp:posOffset>167005</wp:posOffset>
                </wp:positionV>
                <wp:extent cx="5803900" cy="55245"/>
                <wp:effectExtent l="0" t="5080" r="6350" b="635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55245"/>
                          <a:chOff x="1380" y="263"/>
                          <a:chExt cx="9140" cy="87"/>
                        </a:xfrm>
                      </wpg:grpSpPr>
                      <wps:wsp>
                        <wps:cNvPr id="6" name="Line 4"/>
                        <wps:cNvCnPr>
                          <a:cxnSpLocks noChangeShapeType="1"/>
                        </wps:cNvCnPr>
                        <wps:spPr bwMode="auto">
                          <a:xfrm>
                            <a:off x="1409" y="292"/>
                            <a:ext cx="9082" cy="0"/>
                          </a:xfrm>
                          <a:prstGeom prst="line">
                            <a:avLst/>
                          </a:prstGeom>
                          <a:noFill/>
                          <a:ln w="36576">
                            <a:solidFill>
                              <a:srgbClr val="622423"/>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1409" y="342"/>
                            <a:ext cx="9082" cy="0"/>
                          </a:xfrm>
                          <a:prstGeom prst="line">
                            <a:avLst/>
                          </a:prstGeom>
                          <a:noFill/>
                          <a:ln w="9144">
                            <a:solidFill>
                              <a:srgbClr val="62242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8E2CD3" id="Group 2" o:spid="_x0000_s1026" style="position:absolute;margin-left:69pt;margin-top:13.15pt;width:457pt;height:4.35pt;z-index:251658240;mso-wrap-distance-left:0;mso-wrap-distance-right:0;mso-position-horizontal-relative:page" coordorigin="1380,263" coordsize="91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">
                <v:line id="Line 4" o:spid="_x0000_s1027" style="position:absolute;visibility:visible;mso-wrap-style:square" from="1409,292" to="1049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fuPcEAAADaAAAADwAAAGRycy9kb3ducmV2LnhtbESPzYrCMBSF94LvEK4wuzFVRKbVKCII&#10;bhxGZ0S7uzTXttjclCbWztsbQXB5OD8fZ77sTCVaalxpWcFoGIEgzqwuOVfw97v5/ALhPLLGyjIp&#10;+CcHy0W/N8dE2zvvqT34XIQRdgkqKLyvEyldVpBBN7Q1cfAutjHog2xyqRu8h3FTyXEUTaXBkgOh&#10;wJrWBWXXw80EyDFNT9+Tsy3Ttia93sX5TxQr9THoVjMQnjr/Dr/aW61gCs8r4Qb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Z+49wQAAANoAAAAPAAAAAAAAAAAAAAAA&#10;AKECAABkcnMvZG93bnJldi54bWxQSwUGAAAAAAQABAD5AAAAjwMAAAAA&#10;" strokecolor="#622423" strokeweight="2.88pt"/>
                <v:line id="Line 3" o:spid="_x0000_s1028" style="position:absolute;visibility:visible;mso-wrap-style:square" from="1409,342" to="10491,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YHr8IAAADaAAAADwAAAGRycy9kb3ducmV2LnhtbESPT4vCMBTE78J+h/AWvIimevBPt1EW&#10;RbF40t29P5pnW7d5KU2s9dsbQfA4zMxvmGTVmUq01LjSsoLxKAJBnFldcq7g92c7nINwHlljZZkU&#10;3MnBavnRSzDW9sZHak8+FwHCLkYFhfd1LKXLCjLoRrYmDt7ZNgZ9kE0udYO3ADeVnETRVBosOSwU&#10;WNO6oOz/dDUK9K7e3bvZYbEx/m860GmKl0OqVP+z+/4C4anz7/CrvdcKZv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YHr8IAAADaAAAADwAAAAAAAAAAAAAA&#10;AAChAgAAZHJzL2Rvd25yZXYueG1sUEsFBgAAAAAEAAQA+QAAAJADAAAAAA==&#10;" strokecolor="#622423" strokeweight=".72pt"/>
                <w10:wrap type="topAndBottom" anchorx="page"/>
              </v:group>
            </w:pict>
          </mc:Fallback>
        </mc:AlternateContent>
      </w:r>
    </w:p>
    <w:p w:rsidR="00295392" w:rsidRDefault="00295392">
      <w:pPr>
        <w:rPr>
          <w:rFonts w:ascii="Cambria"/>
          <w:sz w:val="19"/>
        </w:rPr>
        <w:sectPr w:rsidR="00295392">
          <w:footerReference w:type="default" r:id="rId7"/>
          <w:type w:val="continuous"/>
          <w:pgSz w:w="11910" w:h="16840"/>
          <w:pgMar w:top="1360" w:right="1280" w:bottom="960" w:left="1280" w:header="720" w:footer="779" w:gutter="0"/>
          <w:cols w:space="720"/>
        </w:sectPr>
      </w:pPr>
    </w:p>
    <w:p w:rsidR="00295392" w:rsidRDefault="006B2E1D">
      <w:pPr>
        <w:pStyle w:val="Heading1"/>
        <w:spacing w:before="72"/>
        <w:ind w:left="774"/>
      </w:pPr>
      <w:r>
        <w:rPr>
          <w:color w:val="365F91"/>
        </w:rPr>
        <w:lastRenderedPageBreak/>
        <w:t>Introduction</w:t>
      </w:r>
    </w:p>
    <w:p w:rsidR="00295392" w:rsidRDefault="00295392">
      <w:pPr>
        <w:pStyle w:val="BodyText"/>
        <w:spacing w:before="11"/>
        <w:rPr>
          <w:rFonts w:ascii="Cambria"/>
          <w:b/>
          <w:sz w:val="47"/>
        </w:rPr>
      </w:pPr>
    </w:p>
    <w:p w:rsidR="00295392" w:rsidRDefault="006B2E1D">
      <w:pPr>
        <w:pStyle w:val="ListParagraph"/>
        <w:numPr>
          <w:ilvl w:val="0"/>
          <w:numId w:val="1"/>
        </w:numPr>
        <w:tabs>
          <w:tab w:val="left" w:pos="1153"/>
        </w:tabs>
        <w:spacing w:line="268" w:lineRule="auto"/>
        <w:ind w:hanging="360"/>
        <w:jc w:val="both"/>
        <w:rPr>
          <w:sz w:val="24"/>
        </w:rPr>
      </w:pPr>
      <w:r>
        <w:rPr>
          <w:sz w:val="24"/>
        </w:rPr>
        <w:t xml:space="preserve">As you will be aware I have been appointed to carry out the examination of the Broughton and Old Dalby Parish </w:t>
      </w:r>
      <w:proofErr w:type="spellStart"/>
      <w:r>
        <w:rPr>
          <w:sz w:val="24"/>
        </w:rPr>
        <w:t>Neighbourhood</w:t>
      </w:r>
      <w:proofErr w:type="spellEnd"/>
      <w:r>
        <w:rPr>
          <w:sz w:val="24"/>
        </w:rPr>
        <w:t xml:space="preserve"> Plan. I have carried out my initial review of the Plan and the accompanying documents and am about to start drafting my report. I also carried out a visit to the area on 9</w:t>
      </w:r>
      <w:proofErr w:type="spellStart"/>
      <w:r>
        <w:rPr>
          <w:position w:val="11"/>
          <w:sz w:val="16"/>
        </w:rPr>
        <w:t>th</w:t>
      </w:r>
      <w:proofErr w:type="spellEnd"/>
      <w:r>
        <w:rPr>
          <w:sz w:val="16"/>
        </w:rPr>
        <w:t xml:space="preserve"> </w:t>
      </w:r>
      <w:r>
        <w:rPr>
          <w:sz w:val="24"/>
        </w:rPr>
        <w:t>October</w:t>
      </w:r>
      <w:r>
        <w:rPr>
          <w:spacing w:val="-3"/>
          <w:sz w:val="24"/>
        </w:rPr>
        <w:t xml:space="preserve"> </w:t>
      </w:r>
      <w:r>
        <w:rPr>
          <w:sz w:val="24"/>
        </w:rPr>
        <w:t>2017.</w:t>
      </w:r>
    </w:p>
    <w:p w:rsidR="00295392" w:rsidRDefault="00295392">
      <w:pPr>
        <w:pStyle w:val="BodyText"/>
        <w:spacing w:before="3"/>
        <w:rPr>
          <w:sz w:val="28"/>
        </w:rPr>
      </w:pPr>
    </w:p>
    <w:p w:rsidR="00295392" w:rsidRDefault="006B2E1D">
      <w:pPr>
        <w:pStyle w:val="ListParagraph"/>
        <w:numPr>
          <w:ilvl w:val="0"/>
          <w:numId w:val="1"/>
        </w:numPr>
        <w:tabs>
          <w:tab w:val="left" w:pos="1086"/>
        </w:tabs>
        <w:spacing w:line="276" w:lineRule="auto"/>
        <w:ind w:hanging="360"/>
        <w:jc w:val="both"/>
        <w:rPr>
          <w:sz w:val="24"/>
        </w:rPr>
      </w:pPr>
      <w:r>
        <w:rPr>
          <w:sz w:val="24"/>
        </w:rPr>
        <w:t>My view is that I should be able to deal with the examination of this Plan by the consideration of the written material alone but I do reserve the right to call for a public hearing, if I consider that it will assist my examination. There are a number of questions that I have arisen before I start writing</w:t>
      </w:r>
      <w:r>
        <w:rPr>
          <w:spacing w:val="26"/>
          <w:sz w:val="24"/>
        </w:rPr>
        <w:t xml:space="preserve"> </w:t>
      </w:r>
      <w:r>
        <w:rPr>
          <w:sz w:val="24"/>
        </w:rPr>
        <w:t>my examination report upon which I would appreciate the comments from both the Qualifying Body (QB) and possibly, the Local Planning Authority</w:t>
      </w:r>
      <w:r>
        <w:rPr>
          <w:spacing w:val="-13"/>
          <w:sz w:val="24"/>
        </w:rPr>
        <w:t xml:space="preserve"> </w:t>
      </w:r>
      <w:r>
        <w:rPr>
          <w:sz w:val="24"/>
        </w:rPr>
        <w:t>(LPA).</w:t>
      </w:r>
    </w:p>
    <w:p w:rsidR="00295392" w:rsidRDefault="00295392">
      <w:pPr>
        <w:pStyle w:val="BodyText"/>
        <w:rPr>
          <w:sz w:val="26"/>
        </w:rPr>
      </w:pPr>
    </w:p>
    <w:p w:rsidR="00295392" w:rsidRDefault="006B2E1D">
      <w:pPr>
        <w:pStyle w:val="Heading1"/>
        <w:spacing w:before="188"/>
        <w:ind w:left="725"/>
      </w:pPr>
      <w:r>
        <w:rPr>
          <w:color w:val="365F91"/>
        </w:rPr>
        <w:t>Questions</w:t>
      </w:r>
    </w:p>
    <w:p w:rsidR="00F45BDA" w:rsidRDefault="006B2E1D" w:rsidP="00F45BDA">
      <w:pPr>
        <w:pStyle w:val="ListParagraph"/>
        <w:numPr>
          <w:ilvl w:val="0"/>
          <w:numId w:val="1"/>
        </w:numPr>
        <w:tabs>
          <w:tab w:val="left" w:pos="1086"/>
        </w:tabs>
        <w:spacing w:before="48" w:line="276" w:lineRule="auto"/>
        <w:ind w:hanging="360"/>
        <w:jc w:val="both"/>
        <w:rPr>
          <w:sz w:val="24"/>
        </w:rPr>
      </w:pPr>
      <w:r>
        <w:rPr>
          <w:sz w:val="24"/>
        </w:rPr>
        <w:t xml:space="preserve">I note that pre-application discussions are taking place regarding a new model village at Six Hills. I note that the plan states that the NP will need to be reviewed if the proposal were to be approved. In which case could the LPA and the QB comment on whether it is premature for the </w:t>
      </w:r>
      <w:proofErr w:type="spellStart"/>
      <w:r>
        <w:rPr>
          <w:sz w:val="24"/>
        </w:rPr>
        <w:t>neighbourhood</w:t>
      </w:r>
      <w:proofErr w:type="spellEnd"/>
      <w:r>
        <w:rPr>
          <w:sz w:val="24"/>
        </w:rPr>
        <w:t xml:space="preserve"> plan to be proposing a separation area and how confident can I be that the boundaries shown are appropriate. How is the Six Hills proposal</w:t>
      </w:r>
      <w:r>
        <w:rPr>
          <w:spacing w:val="33"/>
          <w:sz w:val="24"/>
        </w:rPr>
        <w:t xml:space="preserve"> </w:t>
      </w:r>
      <w:r>
        <w:rPr>
          <w:sz w:val="24"/>
        </w:rPr>
        <w:t xml:space="preserve">being advanced – will it be through a planning application or as a Local Plan </w:t>
      </w:r>
      <w:proofErr w:type="gramStart"/>
      <w:r>
        <w:rPr>
          <w:sz w:val="24"/>
        </w:rPr>
        <w:t>allocation.?</w:t>
      </w:r>
      <w:proofErr w:type="gramEnd"/>
    </w:p>
    <w:p w:rsidR="00C90C65" w:rsidRPr="00C90C65" w:rsidRDefault="00C90C65" w:rsidP="00C90C65">
      <w:pPr>
        <w:tabs>
          <w:tab w:val="left" w:pos="1086"/>
        </w:tabs>
        <w:spacing w:before="48" w:line="276" w:lineRule="auto"/>
        <w:jc w:val="both"/>
        <w:rPr>
          <w:sz w:val="24"/>
        </w:rPr>
      </w:pPr>
    </w:p>
    <w:p w:rsidR="00F45BDA" w:rsidRPr="00E61636" w:rsidRDefault="00E61636" w:rsidP="00C90C65">
      <w:pPr>
        <w:tabs>
          <w:tab w:val="left" w:pos="1086"/>
        </w:tabs>
        <w:spacing w:before="48" w:line="276" w:lineRule="auto"/>
        <w:ind w:left="1134" w:right="136"/>
        <w:jc w:val="both"/>
        <w:rPr>
          <w:color w:val="00B050"/>
          <w:sz w:val="24"/>
        </w:rPr>
      </w:pPr>
      <w:r w:rsidRPr="00E61636">
        <w:rPr>
          <w:color w:val="00B050"/>
          <w:sz w:val="24"/>
        </w:rPr>
        <w:t>The area marked as a ‘provisional Area of Separation’ is based upon the current understanding by the QB of the boundaries. The QB would like to establish the principle of having an Area of Separation if the Six Hills develop</w:t>
      </w:r>
      <w:r w:rsidR="003944D5">
        <w:rPr>
          <w:color w:val="00B050"/>
          <w:sz w:val="24"/>
        </w:rPr>
        <w:t>ment were to proceed.</w:t>
      </w:r>
    </w:p>
    <w:p w:rsidR="00F45BDA" w:rsidRPr="00F45BDA" w:rsidRDefault="00F45BDA" w:rsidP="00C90C65">
      <w:pPr>
        <w:tabs>
          <w:tab w:val="left" w:pos="1086"/>
        </w:tabs>
        <w:spacing w:before="48" w:line="276" w:lineRule="auto"/>
        <w:jc w:val="both"/>
        <w:rPr>
          <w:sz w:val="24"/>
        </w:rPr>
      </w:pPr>
    </w:p>
    <w:p w:rsidR="00295392" w:rsidRDefault="006B2E1D">
      <w:pPr>
        <w:pStyle w:val="ListParagraph"/>
        <w:numPr>
          <w:ilvl w:val="0"/>
          <w:numId w:val="1"/>
        </w:numPr>
        <w:tabs>
          <w:tab w:val="left" w:pos="1153"/>
        </w:tabs>
        <w:spacing w:line="278" w:lineRule="auto"/>
        <w:ind w:hanging="360"/>
        <w:jc w:val="both"/>
        <w:rPr>
          <w:sz w:val="24"/>
        </w:rPr>
      </w:pPr>
      <w:r>
        <w:rPr>
          <w:sz w:val="24"/>
        </w:rPr>
        <w:t>Can the LPA update me as to the likely timescale for the decision to be taken on planning application 17/00397/OUT, which covers the proposed housing reserve</w:t>
      </w:r>
      <w:r>
        <w:rPr>
          <w:spacing w:val="-3"/>
          <w:sz w:val="24"/>
        </w:rPr>
        <w:t xml:space="preserve"> </w:t>
      </w:r>
      <w:r>
        <w:rPr>
          <w:sz w:val="24"/>
        </w:rPr>
        <w:t>site?</w:t>
      </w:r>
    </w:p>
    <w:p w:rsidR="00C90C65" w:rsidRPr="00C90C65" w:rsidRDefault="00C90C65" w:rsidP="00C90C65">
      <w:pPr>
        <w:tabs>
          <w:tab w:val="left" w:pos="1153"/>
        </w:tabs>
        <w:spacing w:line="278" w:lineRule="auto"/>
        <w:jc w:val="both"/>
        <w:rPr>
          <w:color w:val="FF0000"/>
          <w:sz w:val="24"/>
        </w:rPr>
      </w:pPr>
    </w:p>
    <w:p w:rsidR="00C90C65" w:rsidRPr="00B53374" w:rsidRDefault="008F6BF8" w:rsidP="00C90C65">
      <w:pPr>
        <w:tabs>
          <w:tab w:val="left" w:pos="1276"/>
        </w:tabs>
        <w:spacing w:line="278" w:lineRule="auto"/>
        <w:ind w:left="1134"/>
        <w:jc w:val="both"/>
        <w:rPr>
          <w:color w:val="00B050"/>
          <w:sz w:val="24"/>
        </w:rPr>
      </w:pPr>
      <w:r w:rsidRPr="00B53374">
        <w:rPr>
          <w:color w:val="00B050"/>
          <w:sz w:val="24"/>
        </w:rPr>
        <w:t>LPA to respond</w:t>
      </w:r>
    </w:p>
    <w:p w:rsidR="00C90C65" w:rsidRPr="00C90C65" w:rsidRDefault="00C90C65" w:rsidP="00C90C65">
      <w:pPr>
        <w:tabs>
          <w:tab w:val="left" w:pos="1276"/>
        </w:tabs>
        <w:spacing w:line="278" w:lineRule="auto"/>
        <w:ind w:left="1134"/>
        <w:jc w:val="both"/>
        <w:rPr>
          <w:sz w:val="24"/>
        </w:rPr>
      </w:pPr>
    </w:p>
    <w:p w:rsidR="00295392" w:rsidRDefault="006B2E1D">
      <w:pPr>
        <w:pStyle w:val="ListParagraph"/>
        <w:numPr>
          <w:ilvl w:val="0"/>
          <w:numId w:val="1"/>
        </w:numPr>
        <w:tabs>
          <w:tab w:val="left" w:pos="1086"/>
        </w:tabs>
        <w:spacing w:line="276" w:lineRule="auto"/>
        <w:ind w:hanging="360"/>
        <w:jc w:val="both"/>
        <w:rPr>
          <w:sz w:val="24"/>
        </w:rPr>
      </w:pPr>
      <w:r>
        <w:rPr>
          <w:sz w:val="24"/>
        </w:rPr>
        <w:t xml:space="preserve">Can the QB explain to me the rationale behind the inclusion within </w:t>
      </w:r>
      <w:proofErr w:type="gramStart"/>
      <w:r>
        <w:rPr>
          <w:sz w:val="24"/>
        </w:rPr>
        <w:t>the  Limits</w:t>
      </w:r>
      <w:proofErr w:type="gramEnd"/>
      <w:r>
        <w:rPr>
          <w:sz w:val="24"/>
        </w:rPr>
        <w:t xml:space="preserve"> of Development of the parcel of land fronting Dalby Road on the west side of Marquis Road at Queensway– is there an extant planning consent  on the</w:t>
      </w:r>
      <w:r>
        <w:rPr>
          <w:spacing w:val="-4"/>
          <w:sz w:val="24"/>
        </w:rPr>
        <w:t xml:space="preserve"> </w:t>
      </w:r>
      <w:r>
        <w:rPr>
          <w:sz w:val="24"/>
        </w:rPr>
        <w:t>land?</w:t>
      </w:r>
    </w:p>
    <w:p w:rsidR="00C90C65" w:rsidRDefault="00C90C65" w:rsidP="00C90C65">
      <w:pPr>
        <w:tabs>
          <w:tab w:val="left" w:pos="1086"/>
        </w:tabs>
        <w:spacing w:line="276" w:lineRule="auto"/>
        <w:jc w:val="both"/>
        <w:rPr>
          <w:sz w:val="24"/>
        </w:rPr>
      </w:pPr>
    </w:p>
    <w:p w:rsidR="00C90C65" w:rsidRPr="008F6BF8" w:rsidRDefault="008F6BF8" w:rsidP="00C90C65">
      <w:pPr>
        <w:tabs>
          <w:tab w:val="left" w:pos="1086"/>
        </w:tabs>
        <w:spacing w:line="276" w:lineRule="auto"/>
        <w:ind w:left="1134"/>
        <w:jc w:val="both"/>
        <w:rPr>
          <w:color w:val="00B050"/>
          <w:sz w:val="24"/>
        </w:rPr>
      </w:pPr>
      <w:r w:rsidRPr="008F6BF8">
        <w:rPr>
          <w:color w:val="00B050"/>
          <w:sz w:val="24"/>
        </w:rPr>
        <w:t>The land referred to was granted outline planning permission on appeal on 6 February 2016.</w:t>
      </w:r>
    </w:p>
    <w:p w:rsidR="00851004" w:rsidRPr="00C90C65" w:rsidRDefault="00851004" w:rsidP="00C90C65">
      <w:pPr>
        <w:tabs>
          <w:tab w:val="left" w:pos="1086"/>
        </w:tabs>
        <w:spacing w:line="276" w:lineRule="auto"/>
        <w:ind w:left="1134"/>
        <w:jc w:val="both"/>
        <w:rPr>
          <w:color w:val="FF0000"/>
          <w:sz w:val="24"/>
        </w:rPr>
      </w:pPr>
    </w:p>
    <w:p w:rsidR="00295392" w:rsidRDefault="006B2E1D">
      <w:pPr>
        <w:pStyle w:val="ListParagraph"/>
        <w:numPr>
          <w:ilvl w:val="0"/>
          <w:numId w:val="1"/>
        </w:numPr>
        <w:tabs>
          <w:tab w:val="left" w:pos="1086"/>
        </w:tabs>
        <w:spacing w:before="3" w:line="276" w:lineRule="auto"/>
        <w:ind w:hanging="360"/>
        <w:jc w:val="both"/>
        <w:rPr>
          <w:sz w:val="24"/>
        </w:rPr>
      </w:pPr>
      <w:r>
        <w:rPr>
          <w:sz w:val="24"/>
        </w:rPr>
        <w:t>I note that the Plan refers to the possible release of additional land by the MOD at Old Dalby. Can the LPA or the QB identify the land on a map and let me know what policies would relate to that land – is it classed as countryside</w:t>
      </w:r>
    </w:p>
    <w:p w:rsidR="00C90C65" w:rsidRDefault="00C90C65" w:rsidP="00C90C65">
      <w:pPr>
        <w:tabs>
          <w:tab w:val="left" w:pos="1086"/>
        </w:tabs>
        <w:spacing w:before="3" w:line="276" w:lineRule="auto"/>
        <w:ind w:left="1134"/>
        <w:jc w:val="both"/>
        <w:rPr>
          <w:sz w:val="24"/>
        </w:rPr>
      </w:pPr>
    </w:p>
    <w:p w:rsidR="003944D5" w:rsidRDefault="003944D5" w:rsidP="005042A0">
      <w:pPr>
        <w:tabs>
          <w:tab w:val="left" w:pos="1086"/>
        </w:tabs>
        <w:spacing w:before="3" w:line="276" w:lineRule="auto"/>
        <w:ind w:left="1134" w:right="136"/>
        <w:jc w:val="both"/>
        <w:rPr>
          <w:color w:val="00B050"/>
          <w:sz w:val="24"/>
        </w:rPr>
      </w:pPr>
      <w:r>
        <w:rPr>
          <w:color w:val="00B050"/>
          <w:sz w:val="24"/>
        </w:rPr>
        <w:t xml:space="preserve">This land is outside the </w:t>
      </w:r>
      <w:proofErr w:type="spellStart"/>
      <w:r>
        <w:rPr>
          <w:color w:val="00B050"/>
          <w:sz w:val="24"/>
        </w:rPr>
        <w:t>LtD</w:t>
      </w:r>
      <w:proofErr w:type="spellEnd"/>
      <w:r>
        <w:rPr>
          <w:color w:val="00B050"/>
          <w:sz w:val="24"/>
        </w:rPr>
        <w:t xml:space="preserve"> and therefore countryside.</w:t>
      </w:r>
    </w:p>
    <w:p w:rsidR="00C90C65" w:rsidRPr="008F6BF8" w:rsidRDefault="008F6BF8" w:rsidP="005042A0">
      <w:pPr>
        <w:tabs>
          <w:tab w:val="left" w:pos="1086"/>
        </w:tabs>
        <w:spacing w:before="3" w:line="276" w:lineRule="auto"/>
        <w:ind w:left="1134" w:right="136"/>
        <w:jc w:val="both"/>
        <w:rPr>
          <w:color w:val="00B050"/>
          <w:sz w:val="24"/>
        </w:rPr>
      </w:pPr>
      <w:r w:rsidRPr="008F6BF8">
        <w:rPr>
          <w:color w:val="00B050"/>
          <w:sz w:val="24"/>
        </w:rPr>
        <w:t xml:space="preserve">LPA to </w:t>
      </w:r>
      <w:r w:rsidR="003944D5">
        <w:rPr>
          <w:color w:val="00B050"/>
          <w:sz w:val="24"/>
        </w:rPr>
        <w:t xml:space="preserve">also </w:t>
      </w:r>
      <w:r w:rsidRPr="008F6BF8">
        <w:rPr>
          <w:color w:val="00B050"/>
          <w:sz w:val="24"/>
        </w:rPr>
        <w:t>respond</w:t>
      </w:r>
    </w:p>
    <w:p w:rsidR="00C90C65" w:rsidRPr="00C90C65" w:rsidRDefault="00C90C65" w:rsidP="00C90C65">
      <w:pPr>
        <w:tabs>
          <w:tab w:val="left" w:pos="1086"/>
        </w:tabs>
        <w:spacing w:before="3" w:line="276" w:lineRule="auto"/>
        <w:jc w:val="both"/>
        <w:rPr>
          <w:sz w:val="24"/>
        </w:rPr>
      </w:pPr>
    </w:p>
    <w:p w:rsidR="00295392" w:rsidRDefault="006B2E1D" w:rsidP="00B02903">
      <w:pPr>
        <w:pStyle w:val="ListParagraph"/>
        <w:numPr>
          <w:ilvl w:val="0"/>
          <w:numId w:val="1"/>
        </w:numPr>
        <w:tabs>
          <w:tab w:val="left" w:pos="1086"/>
        </w:tabs>
        <w:spacing w:before="69" w:line="276" w:lineRule="auto"/>
        <w:ind w:hanging="360"/>
        <w:jc w:val="both"/>
      </w:pPr>
      <w:r w:rsidRPr="00B02903">
        <w:rPr>
          <w:sz w:val="24"/>
        </w:rPr>
        <w:t>I noted on my site visit the existing housing development at Station Lane, plus the fact that planning consent has been granted for a further 20 units, plus the proposed allocation of the site beyond, as a reserve site under Policy H2. Did the QB consider the possibility of proposing its own Limit of Development for this residential enclave or should proposals be considered under countryside policies? In respect of that land between the industrial development</w:t>
      </w:r>
      <w:r w:rsidRPr="00B02903">
        <w:rPr>
          <w:spacing w:val="15"/>
          <w:sz w:val="24"/>
        </w:rPr>
        <w:t xml:space="preserve"> </w:t>
      </w:r>
      <w:r w:rsidRPr="00B02903">
        <w:rPr>
          <w:sz w:val="24"/>
        </w:rPr>
        <w:t>and</w:t>
      </w:r>
      <w:r w:rsidRPr="00B02903">
        <w:rPr>
          <w:spacing w:val="15"/>
          <w:sz w:val="24"/>
        </w:rPr>
        <w:t xml:space="preserve"> </w:t>
      </w:r>
      <w:r w:rsidRPr="00B02903">
        <w:rPr>
          <w:sz w:val="24"/>
        </w:rPr>
        <w:t>the</w:t>
      </w:r>
      <w:r w:rsidRPr="00B02903">
        <w:rPr>
          <w:spacing w:val="15"/>
          <w:sz w:val="24"/>
        </w:rPr>
        <w:t xml:space="preserve"> </w:t>
      </w:r>
      <w:r w:rsidRPr="00B02903">
        <w:rPr>
          <w:sz w:val="24"/>
        </w:rPr>
        <w:t>railway</w:t>
      </w:r>
      <w:r w:rsidRPr="00B02903">
        <w:rPr>
          <w:spacing w:val="15"/>
          <w:sz w:val="24"/>
        </w:rPr>
        <w:t xml:space="preserve"> </w:t>
      </w:r>
      <w:r w:rsidRPr="00B02903">
        <w:rPr>
          <w:sz w:val="24"/>
        </w:rPr>
        <w:t>line,</w:t>
      </w:r>
      <w:r w:rsidRPr="00B02903">
        <w:rPr>
          <w:spacing w:val="15"/>
          <w:sz w:val="24"/>
        </w:rPr>
        <w:t xml:space="preserve"> </w:t>
      </w:r>
      <w:r w:rsidRPr="00B02903">
        <w:rPr>
          <w:sz w:val="24"/>
        </w:rPr>
        <w:t>would</w:t>
      </w:r>
      <w:r w:rsidRPr="00B02903">
        <w:rPr>
          <w:spacing w:val="15"/>
          <w:sz w:val="24"/>
        </w:rPr>
        <w:t xml:space="preserve"> </w:t>
      </w:r>
      <w:r w:rsidRPr="00B02903">
        <w:rPr>
          <w:sz w:val="24"/>
        </w:rPr>
        <w:t>it</w:t>
      </w:r>
      <w:r w:rsidRPr="00B02903">
        <w:rPr>
          <w:spacing w:val="15"/>
          <w:sz w:val="24"/>
        </w:rPr>
        <w:t xml:space="preserve"> </w:t>
      </w:r>
      <w:r w:rsidRPr="00B02903">
        <w:rPr>
          <w:sz w:val="24"/>
        </w:rPr>
        <w:t>be</w:t>
      </w:r>
      <w:r w:rsidRPr="00B02903">
        <w:rPr>
          <w:spacing w:val="15"/>
          <w:sz w:val="24"/>
        </w:rPr>
        <w:t xml:space="preserve"> </w:t>
      </w:r>
      <w:r w:rsidRPr="00B02903">
        <w:rPr>
          <w:sz w:val="24"/>
        </w:rPr>
        <w:t>covered</w:t>
      </w:r>
      <w:r w:rsidRPr="00B02903">
        <w:rPr>
          <w:spacing w:val="15"/>
          <w:sz w:val="24"/>
        </w:rPr>
        <w:t xml:space="preserve"> </w:t>
      </w:r>
      <w:r w:rsidRPr="00B02903">
        <w:rPr>
          <w:sz w:val="24"/>
        </w:rPr>
        <w:t>by</w:t>
      </w:r>
      <w:r w:rsidRPr="00B02903">
        <w:rPr>
          <w:spacing w:val="15"/>
          <w:sz w:val="24"/>
        </w:rPr>
        <w:t xml:space="preserve"> </w:t>
      </w:r>
      <w:r w:rsidRPr="00B02903">
        <w:rPr>
          <w:sz w:val="24"/>
        </w:rPr>
        <w:t>the</w:t>
      </w:r>
      <w:r w:rsidRPr="00B02903">
        <w:rPr>
          <w:spacing w:val="15"/>
          <w:sz w:val="24"/>
        </w:rPr>
        <w:t xml:space="preserve"> </w:t>
      </w:r>
      <w:r w:rsidRPr="00B02903">
        <w:rPr>
          <w:sz w:val="24"/>
        </w:rPr>
        <w:t>limit</w:t>
      </w:r>
      <w:r w:rsidRPr="00B02903">
        <w:rPr>
          <w:spacing w:val="15"/>
          <w:sz w:val="24"/>
        </w:rPr>
        <w:t xml:space="preserve"> </w:t>
      </w:r>
      <w:r w:rsidRPr="00B02903">
        <w:rPr>
          <w:sz w:val="24"/>
        </w:rPr>
        <w:t>of</w:t>
      </w:r>
      <w:r w:rsidRPr="00B02903">
        <w:rPr>
          <w:spacing w:val="15"/>
          <w:sz w:val="24"/>
        </w:rPr>
        <w:t xml:space="preserve"> </w:t>
      </w:r>
      <w:r w:rsidRPr="00B02903">
        <w:rPr>
          <w:sz w:val="24"/>
        </w:rPr>
        <w:t>10</w:t>
      </w:r>
      <w:r w:rsidRPr="00B02903">
        <w:rPr>
          <w:spacing w:val="15"/>
          <w:sz w:val="24"/>
        </w:rPr>
        <w:t xml:space="preserve"> </w:t>
      </w:r>
      <w:r w:rsidRPr="00B02903">
        <w:rPr>
          <w:sz w:val="24"/>
        </w:rPr>
        <w:t>for</w:t>
      </w:r>
      <w:r w:rsidR="00B02903">
        <w:rPr>
          <w:sz w:val="24"/>
        </w:rPr>
        <w:t xml:space="preserve"> </w:t>
      </w:r>
      <w:r>
        <w:t xml:space="preserve">windfall development set for Old Dalby? I see on the table of planning decisions on page </w:t>
      </w:r>
      <w:proofErr w:type="gramStart"/>
      <w:r>
        <w:t>27, that</w:t>
      </w:r>
      <w:proofErr w:type="gramEnd"/>
      <w:r>
        <w:t xml:space="preserve"> the decisions are recorded as Old Dalby but that Queensway limit on the opposite site of the road is set at 3.</w:t>
      </w:r>
    </w:p>
    <w:p w:rsidR="005042A0" w:rsidRPr="00851004" w:rsidRDefault="005042A0" w:rsidP="005042A0">
      <w:pPr>
        <w:tabs>
          <w:tab w:val="left" w:pos="1086"/>
        </w:tabs>
        <w:spacing w:before="69" w:line="276" w:lineRule="auto"/>
        <w:ind w:left="1134" w:right="278"/>
        <w:jc w:val="both"/>
        <w:rPr>
          <w:color w:val="FF0000"/>
          <w:sz w:val="24"/>
          <w:szCs w:val="24"/>
        </w:rPr>
      </w:pPr>
    </w:p>
    <w:p w:rsidR="00B02903" w:rsidRPr="00851004" w:rsidRDefault="008F6BF8" w:rsidP="005042A0">
      <w:pPr>
        <w:tabs>
          <w:tab w:val="left" w:pos="1086"/>
        </w:tabs>
        <w:spacing w:before="69" w:line="276" w:lineRule="auto"/>
        <w:ind w:left="1134" w:right="278"/>
        <w:jc w:val="both"/>
        <w:rPr>
          <w:color w:val="FF0000"/>
          <w:sz w:val="24"/>
          <w:szCs w:val="24"/>
        </w:rPr>
      </w:pPr>
      <w:proofErr w:type="spellStart"/>
      <w:r w:rsidRPr="00B53374">
        <w:rPr>
          <w:color w:val="00B050"/>
          <w:sz w:val="24"/>
          <w:szCs w:val="24"/>
        </w:rPr>
        <w:t>LtD</w:t>
      </w:r>
      <w:proofErr w:type="spellEnd"/>
      <w:r w:rsidRPr="00B53374">
        <w:rPr>
          <w:color w:val="00B050"/>
          <w:sz w:val="24"/>
          <w:szCs w:val="24"/>
        </w:rPr>
        <w:t xml:space="preserve"> was not considered for this</w:t>
      </w:r>
      <w:r w:rsidR="005042A0" w:rsidRPr="00B53374">
        <w:rPr>
          <w:color w:val="00B050"/>
          <w:sz w:val="24"/>
          <w:szCs w:val="24"/>
        </w:rPr>
        <w:t xml:space="preserve"> area in order to concentrate </w:t>
      </w:r>
      <w:r w:rsidR="00851004" w:rsidRPr="00B53374">
        <w:rPr>
          <w:color w:val="00B050"/>
          <w:sz w:val="24"/>
          <w:szCs w:val="24"/>
        </w:rPr>
        <w:t xml:space="preserve">development </w:t>
      </w:r>
      <w:r w:rsidR="005042A0" w:rsidRPr="00B53374">
        <w:rPr>
          <w:color w:val="00B050"/>
          <w:sz w:val="24"/>
          <w:szCs w:val="24"/>
        </w:rPr>
        <w:t>on the main settlements</w:t>
      </w:r>
      <w:r w:rsidRPr="00B53374">
        <w:rPr>
          <w:color w:val="00B050"/>
          <w:sz w:val="24"/>
          <w:szCs w:val="24"/>
        </w:rPr>
        <w:t xml:space="preserve">. The </w:t>
      </w:r>
      <w:r w:rsidR="005042A0" w:rsidRPr="00B53374">
        <w:rPr>
          <w:color w:val="00B050"/>
          <w:sz w:val="24"/>
          <w:szCs w:val="24"/>
        </w:rPr>
        <w:t xml:space="preserve">relationship </w:t>
      </w:r>
      <w:r w:rsidR="008D31B3" w:rsidRPr="00B53374">
        <w:rPr>
          <w:color w:val="00B050"/>
          <w:sz w:val="24"/>
          <w:szCs w:val="24"/>
        </w:rPr>
        <w:t xml:space="preserve">of this area </w:t>
      </w:r>
      <w:r w:rsidR="005042A0" w:rsidRPr="00B53374">
        <w:rPr>
          <w:color w:val="00B050"/>
          <w:sz w:val="24"/>
          <w:szCs w:val="24"/>
        </w:rPr>
        <w:t>is with Old Dalby rather than Queensway</w:t>
      </w:r>
      <w:r w:rsidR="008D31B3" w:rsidRPr="00B53374">
        <w:rPr>
          <w:color w:val="00B050"/>
          <w:sz w:val="24"/>
          <w:szCs w:val="24"/>
        </w:rPr>
        <w:t>. The issue of windfall limits was removed from the proposed LPA</w:t>
      </w:r>
      <w:r w:rsidR="005042A0" w:rsidRPr="00B53374">
        <w:rPr>
          <w:color w:val="00B050"/>
          <w:sz w:val="24"/>
          <w:szCs w:val="24"/>
        </w:rPr>
        <w:t xml:space="preserve"> windfall policy in the </w:t>
      </w:r>
      <w:r w:rsidR="008D31B3" w:rsidRPr="00B53374">
        <w:rPr>
          <w:color w:val="00B050"/>
          <w:sz w:val="24"/>
          <w:szCs w:val="24"/>
        </w:rPr>
        <w:t>‘</w:t>
      </w:r>
      <w:r w:rsidR="005042A0" w:rsidRPr="00B53374">
        <w:rPr>
          <w:color w:val="00B050"/>
          <w:sz w:val="24"/>
          <w:szCs w:val="24"/>
        </w:rPr>
        <w:t>focused changes</w:t>
      </w:r>
      <w:r w:rsidR="008D31B3" w:rsidRPr="00B53374">
        <w:rPr>
          <w:color w:val="00B050"/>
          <w:sz w:val="24"/>
          <w:szCs w:val="24"/>
        </w:rPr>
        <w:t>’ after the NP had been formally submitted at end June 2017</w:t>
      </w:r>
      <w:r w:rsidR="008D31B3" w:rsidRPr="008D31B3">
        <w:rPr>
          <w:color w:val="00B050"/>
          <w:sz w:val="24"/>
          <w:szCs w:val="24"/>
        </w:rPr>
        <w:t>.</w:t>
      </w:r>
    </w:p>
    <w:p w:rsidR="00B02903" w:rsidRDefault="00B02903" w:rsidP="00B02903">
      <w:pPr>
        <w:tabs>
          <w:tab w:val="left" w:pos="1086"/>
        </w:tabs>
        <w:spacing w:before="69" w:line="276" w:lineRule="auto"/>
        <w:jc w:val="both"/>
      </w:pPr>
    </w:p>
    <w:p w:rsidR="005042A0" w:rsidRDefault="006B2E1D" w:rsidP="005042A0">
      <w:pPr>
        <w:pStyle w:val="ListParagraph"/>
        <w:numPr>
          <w:ilvl w:val="0"/>
          <w:numId w:val="1"/>
        </w:numPr>
        <w:tabs>
          <w:tab w:val="left" w:pos="1086"/>
        </w:tabs>
        <w:spacing w:line="276" w:lineRule="auto"/>
        <w:ind w:hanging="360"/>
        <w:jc w:val="both"/>
        <w:rPr>
          <w:sz w:val="24"/>
        </w:rPr>
      </w:pPr>
      <w:r>
        <w:rPr>
          <w:sz w:val="24"/>
        </w:rPr>
        <w:t xml:space="preserve">I note that there is an outstanding planning application for part of the land at Central Field, Nether Broughton for 3 dwellings. Can the LPA provide me as a likely timescale for its determination, as it would not be appropriate for it to be allocated as LGS, if there is an extant planning </w:t>
      </w:r>
      <w:proofErr w:type="gramStart"/>
      <w:r>
        <w:rPr>
          <w:sz w:val="24"/>
        </w:rPr>
        <w:t>consent.</w:t>
      </w:r>
      <w:proofErr w:type="gramEnd"/>
      <w:r>
        <w:rPr>
          <w:sz w:val="24"/>
        </w:rPr>
        <w:t xml:space="preserve"> Similarly, I noticed that the Parish Council did not object to the planning application on the basis that it would secure the protection and enhancement of the open space in the central section of the site. Would the QB have a view as to whether the extent of the LGS designation should be reduced to cover that just section and should the whole field be included within the Limit of Development</w:t>
      </w:r>
    </w:p>
    <w:p w:rsidR="008D31B3" w:rsidRDefault="008D31B3" w:rsidP="008D31B3">
      <w:pPr>
        <w:tabs>
          <w:tab w:val="left" w:pos="1086"/>
        </w:tabs>
        <w:spacing w:line="276" w:lineRule="auto"/>
        <w:jc w:val="both"/>
        <w:rPr>
          <w:sz w:val="24"/>
        </w:rPr>
      </w:pPr>
      <w:r>
        <w:rPr>
          <w:sz w:val="24"/>
        </w:rPr>
        <w:tab/>
      </w:r>
    </w:p>
    <w:p w:rsidR="008D31B3" w:rsidRPr="008D31B3" w:rsidRDefault="008D31B3" w:rsidP="008D31B3">
      <w:pPr>
        <w:tabs>
          <w:tab w:val="left" w:pos="1086"/>
        </w:tabs>
        <w:spacing w:line="276" w:lineRule="auto"/>
        <w:ind w:left="1085"/>
        <w:jc w:val="both"/>
        <w:rPr>
          <w:color w:val="00B050"/>
          <w:sz w:val="24"/>
        </w:rPr>
      </w:pPr>
      <w:r>
        <w:rPr>
          <w:sz w:val="24"/>
        </w:rPr>
        <w:tab/>
      </w:r>
      <w:r w:rsidRPr="008D31B3">
        <w:rPr>
          <w:color w:val="00B050"/>
          <w:sz w:val="24"/>
        </w:rPr>
        <w:t>This Planning Application (17/00950/OUT) was granted by the Planning Committee on 19 October 2017 with permission for 3 houses on the bottom 1/3 of the land on the basis of the top 2/3 being gifted to the Parish Council for retention as open space.</w:t>
      </w:r>
      <w:r w:rsidR="00F13628">
        <w:rPr>
          <w:color w:val="00B050"/>
          <w:sz w:val="24"/>
        </w:rPr>
        <w:t xml:space="preserve"> Hence, the </w:t>
      </w:r>
      <w:proofErr w:type="spellStart"/>
      <w:r w:rsidR="00F13628">
        <w:rPr>
          <w:color w:val="00B050"/>
          <w:sz w:val="24"/>
        </w:rPr>
        <w:t>LtD</w:t>
      </w:r>
      <w:proofErr w:type="spellEnd"/>
      <w:r w:rsidR="00F13628">
        <w:rPr>
          <w:color w:val="00B050"/>
          <w:sz w:val="24"/>
        </w:rPr>
        <w:t xml:space="preserve"> and LGS areas should be amended to reflect this decision.</w:t>
      </w:r>
    </w:p>
    <w:p w:rsidR="005042A0" w:rsidRPr="005042A0" w:rsidRDefault="005042A0" w:rsidP="008D31B3">
      <w:pPr>
        <w:tabs>
          <w:tab w:val="left" w:pos="1086"/>
        </w:tabs>
        <w:spacing w:line="276" w:lineRule="auto"/>
        <w:ind w:right="136"/>
        <w:jc w:val="both"/>
        <w:rPr>
          <w:color w:val="FF0000"/>
          <w:sz w:val="24"/>
        </w:rPr>
      </w:pPr>
    </w:p>
    <w:p w:rsidR="005042A0" w:rsidRPr="005042A0" w:rsidRDefault="005042A0" w:rsidP="005042A0">
      <w:pPr>
        <w:tabs>
          <w:tab w:val="left" w:pos="1086"/>
        </w:tabs>
        <w:spacing w:line="276" w:lineRule="auto"/>
        <w:jc w:val="both"/>
        <w:rPr>
          <w:sz w:val="24"/>
        </w:rPr>
      </w:pPr>
    </w:p>
    <w:p w:rsidR="00295392" w:rsidRDefault="006B2E1D">
      <w:pPr>
        <w:pStyle w:val="ListParagraph"/>
        <w:numPr>
          <w:ilvl w:val="0"/>
          <w:numId w:val="1"/>
        </w:numPr>
        <w:tabs>
          <w:tab w:val="left" w:pos="1086"/>
        </w:tabs>
        <w:spacing w:before="5" w:line="276" w:lineRule="auto"/>
        <w:ind w:hanging="360"/>
        <w:jc w:val="both"/>
        <w:rPr>
          <w:sz w:val="24"/>
        </w:rPr>
      </w:pPr>
      <w:r>
        <w:rPr>
          <w:sz w:val="24"/>
        </w:rPr>
        <w:t>Can the QB provide me with copies of the correspondence that shows that the owners of the land proposed for designation as LGS were contacted prior to the publication of the proposals, as recommended by the Planning Practice</w:t>
      </w:r>
      <w:r>
        <w:rPr>
          <w:spacing w:val="-3"/>
          <w:sz w:val="24"/>
        </w:rPr>
        <w:t xml:space="preserve"> </w:t>
      </w:r>
      <w:r>
        <w:rPr>
          <w:sz w:val="24"/>
        </w:rPr>
        <w:t>Guidance?</w:t>
      </w:r>
    </w:p>
    <w:p w:rsidR="005042A0" w:rsidRPr="00142567" w:rsidRDefault="005042A0" w:rsidP="005042A0">
      <w:pPr>
        <w:tabs>
          <w:tab w:val="left" w:pos="1086"/>
        </w:tabs>
        <w:spacing w:before="5" w:line="276" w:lineRule="auto"/>
        <w:jc w:val="both"/>
        <w:rPr>
          <w:color w:val="FF0000"/>
          <w:sz w:val="24"/>
        </w:rPr>
      </w:pPr>
    </w:p>
    <w:p w:rsidR="00656779" w:rsidRDefault="00656779" w:rsidP="003944D5">
      <w:pPr>
        <w:tabs>
          <w:tab w:val="left" w:pos="1086"/>
        </w:tabs>
        <w:spacing w:before="5" w:line="276" w:lineRule="auto"/>
        <w:ind w:left="1134" w:right="136"/>
        <w:jc w:val="both"/>
        <w:rPr>
          <w:color w:val="00B050"/>
          <w:sz w:val="24"/>
        </w:rPr>
      </w:pPr>
      <w:r w:rsidRPr="00656779">
        <w:rPr>
          <w:color w:val="00B050"/>
          <w:sz w:val="24"/>
        </w:rPr>
        <w:t xml:space="preserve">The QB has conducted an extensive communication and engagement exercise over the last 18 months during the development of the </w:t>
      </w:r>
      <w:proofErr w:type="spellStart"/>
      <w:r w:rsidRPr="00656779">
        <w:rPr>
          <w:color w:val="00B050"/>
          <w:sz w:val="24"/>
        </w:rPr>
        <w:t>Neighbourhood</w:t>
      </w:r>
      <w:proofErr w:type="spellEnd"/>
      <w:r w:rsidRPr="00656779">
        <w:rPr>
          <w:color w:val="00B050"/>
          <w:sz w:val="24"/>
        </w:rPr>
        <w:t xml:space="preserve"> Plan, as evidence</w:t>
      </w:r>
      <w:r w:rsidR="00644CB5">
        <w:rPr>
          <w:color w:val="00B050"/>
          <w:sz w:val="24"/>
        </w:rPr>
        <w:t>d</w:t>
      </w:r>
      <w:r w:rsidR="003944D5">
        <w:rPr>
          <w:color w:val="00B050"/>
          <w:sz w:val="24"/>
        </w:rPr>
        <w:t xml:space="preserve"> by the Consultation Statement. There is no </w:t>
      </w:r>
      <w:r w:rsidRPr="00656779">
        <w:rPr>
          <w:color w:val="00B050"/>
          <w:sz w:val="24"/>
        </w:rPr>
        <w:t>specific ‘correspondence’ with o</w:t>
      </w:r>
      <w:r w:rsidR="003944D5">
        <w:rPr>
          <w:color w:val="00B050"/>
          <w:sz w:val="24"/>
        </w:rPr>
        <w:t xml:space="preserve">wners of the </w:t>
      </w:r>
      <w:r w:rsidRPr="00656779">
        <w:rPr>
          <w:color w:val="00B050"/>
          <w:sz w:val="24"/>
        </w:rPr>
        <w:t>LGS</w:t>
      </w:r>
      <w:r w:rsidR="003944D5">
        <w:rPr>
          <w:color w:val="00B050"/>
          <w:sz w:val="24"/>
        </w:rPr>
        <w:t xml:space="preserve"> as contact was made on a personal basis as detailed below</w:t>
      </w:r>
      <w:r w:rsidRPr="00656779">
        <w:rPr>
          <w:color w:val="00B050"/>
          <w:sz w:val="24"/>
        </w:rPr>
        <w:t>.</w:t>
      </w:r>
    </w:p>
    <w:p w:rsidR="00656779" w:rsidRDefault="00656779" w:rsidP="00142567">
      <w:pPr>
        <w:tabs>
          <w:tab w:val="left" w:pos="1086"/>
        </w:tabs>
        <w:spacing w:before="5" w:line="276" w:lineRule="auto"/>
        <w:ind w:left="1134" w:right="136"/>
        <w:jc w:val="both"/>
        <w:rPr>
          <w:color w:val="00B050"/>
          <w:sz w:val="24"/>
        </w:rPr>
      </w:pPr>
    </w:p>
    <w:p w:rsidR="00656779" w:rsidRDefault="00481E20" w:rsidP="00142567">
      <w:pPr>
        <w:tabs>
          <w:tab w:val="left" w:pos="1086"/>
        </w:tabs>
        <w:spacing w:before="5" w:line="276" w:lineRule="auto"/>
        <w:ind w:left="1134" w:right="136"/>
        <w:jc w:val="both"/>
        <w:rPr>
          <w:color w:val="00B050"/>
          <w:sz w:val="24"/>
        </w:rPr>
      </w:pPr>
      <w:r>
        <w:rPr>
          <w:color w:val="00B050"/>
          <w:sz w:val="24"/>
        </w:rPr>
        <w:t>The Old Dalby Village Green, the Queensway Allotments</w:t>
      </w:r>
      <w:r w:rsidR="00656779">
        <w:rPr>
          <w:color w:val="00B050"/>
          <w:sz w:val="24"/>
        </w:rPr>
        <w:t xml:space="preserve"> </w:t>
      </w:r>
      <w:r>
        <w:rPr>
          <w:color w:val="00B050"/>
          <w:sz w:val="24"/>
        </w:rPr>
        <w:t xml:space="preserve">and the top section of the Old Dalby Play Park </w:t>
      </w:r>
      <w:r w:rsidR="00656779">
        <w:rPr>
          <w:color w:val="00B050"/>
          <w:sz w:val="24"/>
        </w:rPr>
        <w:t>are owned by the Parish Council which</w:t>
      </w:r>
      <w:r w:rsidR="00644CB5">
        <w:rPr>
          <w:color w:val="00B050"/>
          <w:sz w:val="24"/>
        </w:rPr>
        <w:t>,</w:t>
      </w:r>
      <w:r w:rsidR="00656779">
        <w:rPr>
          <w:color w:val="00B050"/>
          <w:sz w:val="24"/>
        </w:rPr>
        <w:t xml:space="preserve"> as the QB</w:t>
      </w:r>
      <w:r w:rsidR="00644CB5">
        <w:rPr>
          <w:color w:val="00B050"/>
          <w:sz w:val="24"/>
        </w:rPr>
        <w:t>,</w:t>
      </w:r>
      <w:r w:rsidR="00656779">
        <w:rPr>
          <w:color w:val="00B050"/>
          <w:sz w:val="24"/>
        </w:rPr>
        <w:t xml:space="preserve"> is fully aware of this matter.</w:t>
      </w:r>
    </w:p>
    <w:p w:rsidR="00656779" w:rsidRDefault="00656779" w:rsidP="00142567">
      <w:pPr>
        <w:tabs>
          <w:tab w:val="left" w:pos="1086"/>
        </w:tabs>
        <w:spacing w:before="5" w:line="276" w:lineRule="auto"/>
        <w:ind w:left="1134" w:right="136"/>
        <w:jc w:val="both"/>
        <w:rPr>
          <w:color w:val="00B050"/>
          <w:sz w:val="24"/>
        </w:rPr>
      </w:pPr>
    </w:p>
    <w:p w:rsidR="00656779" w:rsidRDefault="00481E20" w:rsidP="00142567">
      <w:pPr>
        <w:tabs>
          <w:tab w:val="left" w:pos="1086"/>
        </w:tabs>
        <w:spacing w:before="5" w:line="276" w:lineRule="auto"/>
        <w:ind w:left="1134" w:right="136"/>
        <w:jc w:val="both"/>
        <w:rPr>
          <w:color w:val="00B050"/>
          <w:sz w:val="24"/>
        </w:rPr>
      </w:pPr>
      <w:r>
        <w:rPr>
          <w:color w:val="00B050"/>
          <w:sz w:val="24"/>
        </w:rPr>
        <w:t xml:space="preserve">The </w:t>
      </w:r>
      <w:r w:rsidR="00656779">
        <w:rPr>
          <w:color w:val="00B050"/>
          <w:sz w:val="24"/>
        </w:rPr>
        <w:t>St John the Baptist churchy</w:t>
      </w:r>
      <w:r>
        <w:rPr>
          <w:color w:val="00B050"/>
          <w:sz w:val="24"/>
        </w:rPr>
        <w:t>ard, the St Mary’s churchyard</w:t>
      </w:r>
      <w:r w:rsidR="00656779">
        <w:rPr>
          <w:color w:val="00B050"/>
          <w:sz w:val="24"/>
        </w:rPr>
        <w:t xml:space="preserve"> </w:t>
      </w:r>
      <w:r>
        <w:rPr>
          <w:color w:val="00B050"/>
          <w:sz w:val="24"/>
        </w:rPr>
        <w:t xml:space="preserve">and the bottom section of the Old Dalby Play Park </w:t>
      </w:r>
      <w:r w:rsidR="00656779">
        <w:rPr>
          <w:color w:val="00B050"/>
          <w:sz w:val="24"/>
        </w:rPr>
        <w:t>are owned by the church</w:t>
      </w:r>
      <w:r>
        <w:rPr>
          <w:color w:val="00B050"/>
          <w:sz w:val="24"/>
        </w:rPr>
        <w:t xml:space="preserve">. The </w:t>
      </w:r>
      <w:bookmarkStart w:id="0" w:name="_GoBack"/>
      <w:bookmarkEnd w:id="0"/>
      <w:r w:rsidR="00656779">
        <w:rPr>
          <w:color w:val="00B050"/>
          <w:sz w:val="24"/>
        </w:rPr>
        <w:t xml:space="preserve">Church Wardens were </w:t>
      </w:r>
      <w:r w:rsidR="0061604A">
        <w:rPr>
          <w:color w:val="00B050"/>
          <w:sz w:val="24"/>
        </w:rPr>
        <w:t>contacted specifically as part of the Regulation 14 phase</w:t>
      </w:r>
      <w:r w:rsidR="00656779">
        <w:rPr>
          <w:color w:val="00B050"/>
          <w:sz w:val="24"/>
        </w:rPr>
        <w:t xml:space="preserve"> </w:t>
      </w:r>
      <w:r w:rsidR="0061604A">
        <w:rPr>
          <w:color w:val="00B050"/>
          <w:sz w:val="24"/>
        </w:rPr>
        <w:t>(see Consultation Statement Appendix 7 section o) with no concerns being expressed.</w:t>
      </w:r>
    </w:p>
    <w:p w:rsidR="0061604A" w:rsidRDefault="0061604A" w:rsidP="00142567">
      <w:pPr>
        <w:tabs>
          <w:tab w:val="left" w:pos="1086"/>
        </w:tabs>
        <w:spacing w:before="5" w:line="276" w:lineRule="auto"/>
        <w:ind w:left="1134" w:right="136"/>
        <w:jc w:val="both"/>
        <w:rPr>
          <w:color w:val="00B050"/>
          <w:sz w:val="24"/>
        </w:rPr>
      </w:pPr>
    </w:p>
    <w:p w:rsidR="0061604A" w:rsidRDefault="0061604A" w:rsidP="00142567">
      <w:pPr>
        <w:tabs>
          <w:tab w:val="left" w:pos="1086"/>
        </w:tabs>
        <w:spacing w:before="5" w:line="276" w:lineRule="auto"/>
        <w:ind w:left="1134" w:right="136"/>
        <w:jc w:val="both"/>
        <w:rPr>
          <w:color w:val="00B050"/>
          <w:sz w:val="24"/>
        </w:rPr>
      </w:pPr>
      <w:r>
        <w:rPr>
          <w:color w:val="00B050"/>
          <w:sz w:val="24"/>
        </w:rPr>
        <w:t xml:space="preserve">The Crescent and Princess Road greens area is owned by the </w:t>
      </w:r>
      <w:proofErr w:type="spellStart"/>
      <w:r>
        <w:rPr>
          <w:color w:val="00B050"/>
          <w:sz w:val="24"/>
        </w:rPr>
        <w:t>MoD</w:t>
      </w:r>
      <w:proofErr w:type="spellEnd"/>
      <w:r>
        <w:rPr>
          <w:color w:val="00B050"/>
          <w:sz w:val="24"/>
        </w:rPr>
        <w:t xml:space="preserve"> which was contacted as part </w:t>
      </w:r>
      <w:r w:rsidR="00756B17">
        <w:rPr>
          <w:color w:val="00B050"/>
          <w:sz w:val="24"/>
        </w:rPr>
        <w:t xml:space="preserve">of the Regulation 14 phase (see </w:t>
      </w:r>
      <w:r>
        <w:rPr>
          <w:color w:val="00B050"/>
          <w:sz w:val="24"/>
        </w:rPr>
        <w:t xml:space="preserve">Consultation Statement Appendix 7 section on Landowners). The </w:t>
      </w:r>
      <w:proofErr w:type="spellStart"/>
      <w:r>
        <w:rPr>
          <w:color w:val="00B050"/>
          <w:sz w:val="24"/>
        </w:rPr>
        <w:t>MoD</w:t>
      </w:r>
      <w:proofErr w:type="spellEnd"/>
      <w:r>
        <w:rPr>
          <w:color w:val="00B050"/>
          <w:sz w:val="24"/>
        </w:rPr>
        <w:t xml:space="preserve"> responded (see Appendix 8 items 31-33) </w:t>
      </w:r>
      <w:r w:rsidR="00E73B8B">
        <w:rPr>
          <w:color w:val="00B050"/>
          <w:sz w:val="24"/>
        </w:rPr>
        <w:t>with no concerns regarding LGS.</w:t>
      </w:r>
    </w:p>
    <w:p w:rsidR="00E73B8B" w:rsidRDefault="00E73B8B" w:rsidP="00142567">
      <w:pPr>
        <w:tabs>
          <w:tab w:val="left" w:pos="1086"/>
        </w:tabs>
        <w:spacing w:before="5" w:line="276" w:lineRule="auto"/>
        <w:ind w:left="1134" w:right="136"/>
        <w:jc w:val="both"/>
        <w:rPr>
          <w:color w:val="00B050"/>
          <w:sz w:val="24"/>
        </w:rPr>
      </w:pPr>
    </w:p>
    <w:p w:rsidR="00E73B8B" w:rsidRDefault="00756B17" w:rsidP="00142567">
      <w:pPr>
        <w:tabs>
          <w:tab w:val="left" w:pos="1086"/>
        </w:tabs>
        <w:spacing w:before="5" w:line="276" w:lineRule="auto"/>
        <w:ind w:left="1134" w:right="136"/>
        <w:jc w:val="both"/>
        <w:rPr>
          <w:color w:val="00B050"/>
          <w:sz w:val="24"/>
        </w:rPr>
      </w:pPr>
      <w:r>
        <w:rPr>
          <w:color w:val="00B050"/>
          <w:sz w:val="24"/>
        </w:rPr>
        <w:t>The Scout Hut and related open space is owned by the 1</w:t>
      </w:r>
      <w:r w:rsidRPr="00756B17">
        <w:rPr>
          <w:color w:val="00B050"/>
          <w:sz w:val="24"/>
          <w:vertAlign w:val="superscript"/>
        </w:rPr>
        <w:t>st</w:t>
      </w:r>
      <w:r>
        <w:rPr>
          <w:color w:val="00B050"/>
          <w:sz w:val="24"/>
        </w:rPr>
        <w:t xml:space="preserve"> Old Dalby Scout Group. This Group has been fully aware of the </w:t>
      </w:r>
      <w:proofErr w:type="spellStart"/>
      <w:r>
        <w:rPr>
          <w:color w:val="00B050"/>
          <w:sz w:val="24"/>
        </w:rPr>
        <w:t>Neighbourhood</w:t>
      </w:r>
      <w:proofErr w:type="spellEnd"/>
      <w:r>
        <w:rPr>
          <w:color w:val="00B050"/>
          <w:sz w:val="24"/>
        </w:rPr>
        <w:t xml:space="preserve"> Plan since the start of its development. In addition, they were contacted as part of the Regulation 14 phase (see Consultation Statement Appendix 7 section on Statutory/Voluntary </w:t>
      </w:r>
      <w:proofErr w:type="spellStart"/>
      <w:r>
        <w:rPr>
          <w:color w:val="00B050"/>
          <w:sz w:val="24"/>
        </w:rPr>
        <w:t>Organisations</w:t>
      </w:r>
      <w:proofErr w:type="spellEnd"/>
      <w:r>
        <w:rPr>
          <w:color w:val="00B050"/>
          <w:sz w:val="24"/>
        </w:rPr>
        <w:t xml:space="preserve">). They responded (see Appendix 8 items 41-43) </w:t>
      </w:r>
      <w:r w:rsidR="00EE4D51">
        <w:rPr>
          <w:color w:val="00B050"/>
          <w:sz w:val="24"/>
        </w:rPr>
        <w:t>with no concerns regarding LGS.</w:t>
      </w:r>
    </w:p>
    <w:p w:rsidR="00EE4D51" w:rsidRDefault="00EE4D51" w:rsidP="00142567">
      <w:pPr>
        <w:tabs>
          <w:tab w:val="left" w:pos="1086"/>
        </w:tabs>
        <w:spacing w:before="5" w:line="276" w:lineRule="auto"/>
        <w:ind w:left="1134" w:right="136"/>
        <w:jc w:val="both"/>
        <w:rPr>
          <w:color w:val="00B050"/>
          <w:sz w:val="24"/>
        </w:rPr>
      </w:pPr>
    </w:p>
    <w:p w:rsidR="00EE4D51" w:rsidRDefault="006D7697" w:rsidP="00142567">
      <w:pPr>
        <w:tabs>
          <w:tab w:val="left" w:pos="1086"/>
        </w:tabs>
        <w:spacing w:before="5" w:line="276" w:lineRule="auto"/>
        <w:ind w:left="1134" w:right="136"/>
        <w:jc w:val="both"/>
        <w:rPr>
          <w:color w:val="00B050"/>
          <w:sz w:val="24"/>
        </w:rPr>
      </w:pPr>
      <w:r>
        <w:rPr>
          <w:color w:val="00B050"/>
          <w:sz w:val="24"/>
        </w:rPr>
        <w:t xml:space="preserve">The Old Hall </w:t>
      </w:r>
      <w:r w:rsidR="00D01549">
        <w:rPr>
          <w:color w:val="00B050"/>
          <w:sz w:val="24"/>
        </w:rPr>
        <w:t xml:space="preserve">Parkland is owned by the </w:t>
      </w:r>
      <w:r>
        <w:rPr>
          <w:color w:val="00B050"/>
          <w:sz w:val="24"/>
        </w:rPr>
        <w:t>family</w:t>
      </w:r>
      <w:r w:rsidR="00D01549">
        <w:rPr>
          <w:color w:val="00B050"/>
          <w:sz w:val="24"/>
        </w:rPr>
        <w:t xml:space="preserve"> who live in Old Dalby Hall</w:t>
      </w:r>
      <w:r>
        <w:rPr>
          <w:color w:val="00B050"/>
          <w:sz w:val="24"/>
        </w:rPr>
        <w:t xml:space="preserve">. They have been </w:t>
      </w:r>
      <w:r w:rsidR="00D01549">
        <w:rPr>
          <w:color w:val="00B050"/>
          <w:sz w:val="24"/>
        </w:rPr>
        <w:t xml:space="preserve">updated regularly on the development of the </w:t>
      </w:r>
      <w:proofErr w:type="spellStart"/>
      <w:r w:rsidR="00D01549">
        <w:rPr>
          <w:color w:val="00B050"/>
          <w:sz w:val="24"/>
        </w:rPr>
        <w:t>Neighbourhood</w:t>
      </w:r>
      <w:proofErr w:type="spellEnd"/>
      <w:r w:rsidR="00D01549">
        <w:rPr>
          <w:color w:val="00B050"/>
          <w:sz w:val="24"/>
        </w:rPr>
        <w:t xml:space="preserve"> Plan since registering in October 2016 to receive email information.</w:t>
      </w:r>
      <w:r w:rsidR="005C21E2">
        <w:rPr>
          <w:color w:val="00B050"/>
          <w:sz w:val="24"/>
        </w:rPr>
        <w:t xml:space="preserve"> No concerns have been noted regarding LGS</w:t>
      </w:r>
      <w:r w:rsidR="00E72125">
        <w:rPr>
          <w:color w:val="00B050"/>
          <w:sz w:val="24"/>
        </w:rPr>
        <w:t>.</w:t>
      </w:r>
    </w:p>
    <w:p w:rsidR="006D7697" w:rsidRDefault="006D7697" w:rsidP="00142567">
      <w:pPr>
        <w:tabs>
          <w:tab w:val="left" w:pos="1086"/>
        </w:tabs>
        <w:spacing w:before="5" w:line="276" w:lineRule="auto"/>
        <w:ind w:left="1134" w:right="136"/>
        <w:jc w:val="both"/>
        <w:rPr>
          <w:color w:val="00B050"/>
          <w:sz w:val="24"/>
        </w:rPr>
      </w:pPr>
    </w:p>
    <w:p w:rsidR="006D7697" w:rsidRDefault="006D7697" w:rsidP="00142567">
      <w:pPr>
        <w:tabs>
          <w:tab w:val="left" w:pos="1086"/>
        </w:tabs>
        <w:spacing w:before="5" w:line="276" w:lineRule="auto"/>
        <w:ind w:left="1134" w:right="136"/>
        <w:jc w:val="both"/>
        <w:rPr>
          <w:color w:val="00B050"/>
          <w:sz w:val="24"/>
        </w:rPr>
      </w:pPr>
      <w:r>
        <w:rPr>
          <w:color w:val="00B050"/>
          <w:sz w:val="24"/>
        </w:rPr>
        <w:t xml:space="preserve">Top Field, Old Dalby is owned jointly </w:t>
      </w:r>
      <w:r w:rsidR="009E05BD">
        <w:rPr>
          <w:color w:val="00B050"/>
          <w:sz w:val="24"/>
        </w:rPr>
        <w:t xml:space="preserve">by two families living in Old Dalby. One of these families has been updated regularly on the development of the </w:t>
      </w:r>
      <w:proofErr w:type="spellStart"/>
      <w:r w:rsidR="009E05BD">
        <w:rPr>
          <w:color w:val="00B050"/>
          <w:sz w:val="24"/>
        </w:rPr>
        <w:t>Neighbourhood</w:t>
      </w:r>
      <w:proofErr w:type="spellEnd"/>
      <w:r w:rsidR="009E05BD">
        <w:rPr>
          <w:color w:val="00B050"/>
          <w:sz w:val="24"/>
        </w:rPr>
        <w:t xml:space="preserve"> Plan since registering in October 2016 to receive email information. </w:t>
      </w:r>
      <w:r w:rsidR="00D01549">
        <w:rPr>
          <w:color w:val="00B050"/>
          <w:sz w:val="24"/>
        </w:rPr>
        <w:t>The other family is aware of the NP through other communications. M</w:t>
      </w:r>
      <w:r w:rsidR="009E05BD">
        <w:rPr>
          <w:color w:val="00B050"/>
          <w:sz w:val="24"/>
        </w:rPr>
        <w:t>embers of one family</w:t>
      </w:r>
      <w:r w:rsidR="00D01549">
        <w:rPr>
          <w:color w:val="00B050"/>
          <w:sz w:val="24"/>
        </w:rPr>
        <w:t xml:space="preserve"> attended a consultation event o</w:t>
      </w:r>
      <w:r w:rsidR="009E05BD">
        <w:rPr>
          <w:color w:val="00B050"/>
          <w:sz w:val="24"/>
        </w:rPr>
        <w:t xml:space="preserve">n </w:t>
      </w:r>
      <w:r w:rsidR="00D01549">
        <w:rPr>
          <w:color w:val="00B050"/>
          <w:sz w:val="24"/>
        </w:rPr>
        <w:t xml:space="preserve">11 </w:t>
      </w:r>
      <w:r w:rsidR="009E05BD">
        <w:rPr>
          <w:color w:val="00B050"/>
          <w:sz w:val="24"/>
        </w:rPr>
        <w:t>Fe</w:t>
      </w:r>
      <w:r w:rsidR="00D01549">
        <w:rPr>
          <w:color w:val="00B050"/>
          <w:sz w:val="24"/>
        </w:rPr>
        <w:t>bruary which showed (among many other things) the proposed LGS areas and no concerns were raised.</w:t>
      </w:r>
    </w:p>
    <w:p w:rsidR="006D7697" w:rsidRDefault="006D7697" w:rsidP="00142567">
      <w:pPr>
        <w:tabs>
          <w:tab w:val="left" w:pos="1086"/>
        </w:tabs>
        <w:spacing w:before="5" w:line="276" w:lineRule="auto"/>
        <w:ind w:left="1134" w:right="136"/>
        <w:jc w:val="both"/>
        <w:rPr>
          <w:color w:val="00B050"/>
          <w:sz w:val="24"/>
        </w:rPr>
      </w:pPr>
    </w:p>
    <w:p w:rsidR="006D7697" w:rsidRDefault="006D7697" w:rsidP="00142567">
      <w:pPr>
        <w:tabs>
          <w:tab w:val="left" w:pos="1086"/>
        </w:tabs>
        <w:spacing w:before="5" w:line="276" w:lineRule="auto"/>
        <w:ind w:left="1134" w:right="136"/>
        <w:jc w:val="both"/>
        <w:rPr>
          <w:color w:val="00B050"/>
          <w:sz w:val="24"/>
        </w:rPr>
      </w:pPr>
      <w:r>
        <w:rPr>
          <w:color w:val="00B050"/>
          <w:sz w:val="24"/>
        </w:rPr>
        <w:t>Moat Fiel</w:t>
      </w:r>
      <w:r w:rsidR="003944D5">
        <w:rPr>
          <w:color w:val="00B050"/>
          <w:sz w:val="24"/>
        </w:rPr>
        <w:t>d</w:t>
      </w:r>
      <w:r w:rsidR="00481E20">
        <w:rPr>
          <w:color w:val="00B050"/>
          <w:sz w:val="24"/>
        </w:rPr>
        <w:t>, Nether Broughton</w:t>
      </w:r>
      <w:r w:rsidR="003944D5">
        <w:rPr>
          <w:color w:val="00B050"/>
          <w:sz w:val="24"/>
        </w:rPr>
        <w:t xml:space="preserve"> is owned by the Lovett </w:t>
      </w:r>
      <w:r w:rsidR="009E05BD">
        <w:rPr>
          <w:color w:val="00B050"/>
          <w:sz w:val="24"/>
        </w:rPr>
        <w:t xml:space="preserve">family </w:t>
      </w:r>
      <w:r w:rsidR="00481E20">
        <w:rPr>
          <w:color w:val="00B050"/>
          <w:sz w:val="24"/>
        </w:rPr>
        <w:t>who live</w:t>
      </w:r>
      <w:r w:rsidR="009E05BD">
        <w:rPr>
          <w:color w:val="00B050"/>
          <w:sz w:val="24"/>
        </w:rPr>
        <w:t xml:space="preserve"> </w:t>
      </w:r>
      <w:r w:rsidR="00481E20">
        <w:rPr>
          <w:color w:val="00B050"/>
          <w:sz w:val="24"/>
        </w:rPr>
        <w:t>and farm</w:t>
      </w:r>
      <w:r w:rsidR="003944D5">
        <w:rPr>
          <w:color w:val="00B050"/>
          <w:sz w:val="24"/>
        </w:rPr>
        <w:t xml:space="preserve"> </w:t>
      </w:r>
      <w:r w:rsidR="009E05BD">
        <w:rPr>
          <w:color w:val="00B050"/>
          <w:sz w:val="24"/>
        </w:rPr>
        <w:t xml:space="preserve">in Nether Broughton. They have been updated regularly on the development of the </w:t>
      </w:r>
      <w:proofErr w:type="spellStart"/>
      <w:r w:rsidR="009E05BD">
        <w:rPr>
          <w:color w:val="00B050"/>
          <w:sz w:val="24"/>
        </w:rPr>
        <w:t>Neighbourhood</w:t>
      </w:r>
      <w:proofErr w:type="spellEnd"/>
      <w:r w:rsidR="009E05BD">
        <w:rPr>
          <w:color w:val="00B050"/>
          <w:sz w:val="24"/>
        </w:rPr>
        <w:t xml:space="preserve"> Plan since registering in October 2016 to receive email information.</w:t>
      </w:r>
      <w:r w:rsidR="005C21E2">
        <w:rPr>
          <w:color w:val="00B050"/>
          <w:sz w:val="24"/>
        </w:rPr>
        <w:t xml:space="preserve"> </w:t>
      </w:r>
      <w:r w:rsidR="003944D5">
        <w:rPr>
          <w:color w:val="00B050"/>
          <w:sz w:val="24"/>
        </w:rPr>
        <w:t xml:space="preserve">The daughter-in-law was a member of the Environment Theme Group and attended some of their meetings. </w:t>
      </w:r>
      <w:r w:rsidR="005C21E2">
        <w:rPr>
          <w:color w:val="00B050"/>
          <w:sz w:val="24"/>
        </w:rPr>
        <w:t>No concerns have been noted regarding LGS.</w:t>
      </w:r>
    </w:p>
    <w:p w:rsidR="006D7697" w:rsidRDefault="006D7697" w:rsidP="00142567">
      <w:pPr>
        <w:tabs>
          <w:tab w:val="left" w:pos="1086"/>
        </w:tabs>
        <w:spacing w:before="5" w:line="276" w:lineRule="auto"/>
        <w:ind w:left="1134" w:right="136"/>
        <w:jc w:val="both"/>
        <w:rPr>
          <w:color w:val="00B050"/>
          <w:sz w:val="24"/>
        </w:rPr>
      </w:pPr>
    </w:p>
    <w:p w:rsidR="006D7697" w:rsidRPr="00656779" w:rsidRDefault="006D7697" w:rsidP="00142567">
      <w:pPr>
        <w:tabs>
          <w:tab w:val="left" w:pos="1086"/>
        </w:tabs>
        <w:spacing w:before="5" w:line="276" w:lineRule="auto"/>
        <w:ind w:left="1134" w:right="136"/>
        <w:jc w:val="both"/>
        <w:rPr>
          <w:color w:val="00B050"/>
          <w:sz w:val="24"/>
        </w:rPr>
      </w:pPr>
      <w:r>
        <w:rPr>
          <w:color w:val="00B050"/>
          <w:sz w:val="24"/>
        </w:rPr>
        <w:t>Central Field</w:t>
      </w:r>
      <w:r w:rsidR="00481E20">
        <w:rPr>
          <w:color w:val="00B050"/>
          <w:sz w:val="24"/>
        </w:rPr>
        <w:t>, Nether Broughton</w:t>
      </w:r>
      <w:r>
        <w:rPr>
          <w:color w:val="00B050"/>
          <w:sz w:val="24"/>
        </w:rPr>
        <w:t xml:space="preserve"> is owned by the Greav</w:t>
      </w:r>
      <w:r w:rsidR="009E05BD">
        <w:rPr>
          <w:color w:val="00B050"/>
          <w:sz w:val="24"/>
        </w:rPr>
        <w:t xml:space="preserve">es family. They have been updated regularly on </w:t>
      </w:r>
      <w:r>
        <w:rPr>
          <w:color w:val="00B050"/>
          <w:sz w:val="24"/>
        </w:rPr>
        <w:t xml:space="preserve">the </w:t>
      </w:r>
      <w:r w:rsidR="009E05BD">
        <w:rPr>
          <w:color w:val="00B050"/>
          <w:sz w:val="24"/>
        </w:rPr>
        <w:t xml:space="preserve">development of the </w:t>
      </w:r>
      <w:proofErr w:type="spellStart"/>
      <w:r>
        <w:rPr>
          <w:color w:val="00B050"/>
          <w:sz w:val="24"/>
        </w:rPr>
        <w:t>Neighbourhood</w:t>
      </w:r>
      <w:proofErr w:type="spellEnd"/>
      <w:r>
        <w:rPr>
          <w:color w:val="00B050"/>
          <w:sz w:val="24"/>
        </w:rPr>
        <w:t xml:space="preserve"> Plan </w:t>
      </w:r>
      <w:r w:rsidR="009E05BD">
        <w:rPr>
          <w:color w:val="00B050"/>
          <w:sz w:val="24"/>
        </w:rPr>
        <w:t xml:space="preserve">since registering in October 2016 to receive email information. In addition, they </w:t>
      </w:r>
      <w:r>
        <w:rPr>
          <w:color w:val="00B050"/>
          <w:sz w:val="24"/>
        </w:rPr>
        <w:t xml:space="preserve">have been in dialogue with the Parish Council for quite some time, leading to a recent planning permission regarding this area and referred to in the answer to </w:t>
      </w:r>
      <w:proofErr w:type="spellStart"/>
      <w:r>
        <w:rPr>
          <w:color w:val="00B050"/>
          <w:sz w:val="24"/>
        </w:rPr>
        <w:t>Qn</w:t>
      </w:r>
      <w:proofErr w:type="spellEnd"/>
      <w:r>
        <w:rPr>
          <w:color w:val="00B050"/>
          <w:sz w:val="24"/>
        </w:rPr>
        <w:t xml:space="preserve"> 8 above.  </w:t>
      </w:r>
    </w:p>
    <w:p w:rsidR="00656779" w:rsidRDefault="00656779" w:rsidP="00142567">
      <w:pPr>
        <w:tabs>
          <w:tab w:val="left" w:pos="1086"/>
        </w:tabs>
        <w:spacing w:before="5" w:line="276" w:lineRule="auto"/>
        <w:ind w:left="1134" w:right="136"/>
        <w:jc w:val="both"/>
        <w:rPr>
          <w:color w:val="FF0000"/>
          <w:sz w:val="24"/>
        </w:rPr>
      </w:pPr>
    </w:p>
    <w:p w:rsidR="005042A0" w:rsidRPr="005042A0" w:rsidRDefault="005042A0" w:rsidP="005042A0">
      <w:pPr>
        <w:tabs>
          <w:tab w:val="left" w:pos="1086"/>
        </w:tabs>
        <w:spacing w:before="5" w:line="276" w:lineRule="auto"/>
        <w:jc w:val="both"/>
        <w:rPr>
          <w:sz w:val="24"/>
        </w:rPr>
      </w:pPr>
    </w:p>
    <w:p w:rsidR="00295392" w:rsidRDefault="006B2E1D">
      <w:pPr>
        <w:pStyle w:val="ListParagraph"/>
        <w:numPr>
          <w:ilvl w:val="0"/>
          <w:numId w:val="1"/>
        </w:numPr>
        <w:tabs>
          <w:tab w:val="left" w:pos="1086"/>
        </w:tabs>
        <w:spacing w:line="276" w:lineRule="auto"/>
        <w:ind w:hanging="360"/>
        <w:jc w:val="both"/>
        <w:rPr>
          <w:sz w:val="24"/>
        </w:rPr>
      </w:pPr>
      <w:r>
        <w:rPr>
          <w:sz w:val="24"/>
        </w:rPr>
        <w:t>I understand that the proposed affordable housing percentage has changed with the latest version of the emerging Local Plan. Would the QB want to made plan to reflect that change and could the LPA and QB suggest a revised wording for me to consider, in making my recommendation, or does the QB want to keep it as submitted? I note the Policy H5 supports a local connection affordable housing policy. Is there any evidence such as a Local Housing Needs Assessment that would support the need for such a</w:t>
      </w:r>
      <w:r>
        <w:rPr>
          <w:spacing w:val="-11"/>
          <w:sz w:val="24"/>
        </w:rPr>
        <w:t xml:space="preserve"> </w:t>
      </w:r>
      <w:r>
        <w:rPr>
          <w:sz w:val="24"/>
        </w:rPr>
        <w:t>policy?</w:t>
      </w:r>
    </w:p>
    <w:p w:rsidR="005042A0" w:rsidRDefault="005042A0" w:rsidP="005042A0">
      <w:pPr>
        <w:tabs>
          <w:tab w:val="left" w:pos="1086"/>
        </w:tabs>
        <w:spacing w:line="276" w:lineRule="auto"/>
        <w:jc w:val="both"/>
        <w:rPr>
          <w:sz w:val="24"/>
        </w:rPr>
      </w:pPr>
    </w:p>
    <w:p w:rsidR="005042A0" w:rsidRDefault="00142567" w:rsidP="004C2DFA">
      <w:pPr>
        <w:tabs>
          <w:tab w:val="left" w:pos="1086"/>
        </w:tabs>
        <w:spacing w:line="276" w:lineRule="auto"/>
        <w:ind w:left="1134" w:right="136"/>
        <w:jc w:val="both"/>
        <w:rPr>
          <w:sz w:val="24"/>
        </w:rPr>
      </w:pPr>
      <w:r>
        <w:rPr>
          <w:sz w:val="24"/>
        </w:rPr>
        <w:t>The policy wording should probably be changed to say ‘Development proposals for new housing should provide affordable housing in accordance with borough wide planning policies’.</w:t>
      </w:r>
    </w:p>
    <w:p w:rsidR="00142567" w:rsidRDefault="00142567" w:rsidP="004C2DFA">
      <w:pPr>
        <w:tabs>
          <w:tab w:val="left" w:pos="1086"/>
        </w:tabs>
        <w:spacing w:line="276" w:lineRule="auto"/>
        <w:ind w:left="1134" w:right="136"/>
        <w:jc w:val="both"/>
        <w:rPr>
          <w:sz w:val="24"/>
        </w:rPr>
      </w:pPr>
    </w:p>
    <w:p w:rsidR="00142567" w:rsidRPr="00B53374" w:rsidRDefault="00142567" w:rsidP="004C2DFA">
      <w:pPr>
        <w:tabs>
          <w:tab w:val="left" w:pos="1086"/>
        </w:tabs>
        <w:spacing w:line="276" w:lineRule="auto"/>
        <w:ind w:left="1134" w:right="136"/>
        <w:jc w:val="both"/>
        <w:rPr>
          <w:color w:val="00B050"/>
          <w:sz w:val="24"/>
        </w:rPr>
      </w:pPr>
      <w:r w:rsidRPr="00B53374">
        <w:rPr>
          <w:color w:val="00B050"/>
          <w:sz w:val="24"/>
        </w:rPr>
        <w:t xml:space="preserve">The evidence for local need is established in the Housing </w:t>
      </w:r>
      <w:proofErr w:type="gramStart"/>
      <w:r w:rsidRPr="00B53374">
        <w:rPr>
          <w:color w:val="00B050"/>
          <w:sz w:val="24"/>
        </w:rPr>
        <w:t>Needs</w:t>
      </w:r>
      <w:proofErr w:type="gramEnd"/>
      <w:r w:rsidRPr="00B53374">
        <w:rPr>
          <w:color w:val="00B050"/>
          <w:sz w:val="24"/>
        </w:rPr>
        <w:t xml:space="preserve"> report (June 2016) which identifies the difficulty that first-time buyers will have accessing the housing market locally due to the high house prices.</w:t>
      </w:r>
      <w:r w:rsidR="004C2DFA" w:rsidRPr="00B53374">
        <w:rPr>
          <w:color w:val="00B050"/>
          <w:sz w:val="24"/>
        </w:rPr>
        <w:t xml:space="preserve"> </w:t>
      </w:r>
    </w:p>
    <w:p w:rsidR="00F13628" w:rsidRDefault="00F13628" w:rsidP="004C2DFA">
      <w:pPr>
        <w:tabs>
          <w:tab w:val="left" w:pos="1086"/>
        </w:tabs>
        <w:spacing w:line="276" w:lineRule="auto"/>
        <w:ind w:left="1134" w:right="136"/>
        <w:jc w:val="both"/>
        <w:rPr>
          <w:color w:val="FF0000"/>
          <w:sz w:val="24"/>
        </w:rPr>
      </w:pPr>
    </w:p>
    <w:p w:rsidR="00F13628" w:rsidRPr="00F13628" w:rsidRDefault="00F13628" w:rsidP="004C2DFA">
      <w:pPr>
        <w:tabs>
          <w:tab w:val="left" w:pos="1086"/>
        </w:tabs>
        <w:spacing w:line="276" w:lineRule="auto"/>
        <w:ind w:left="1134" w:right="136"/>
        <w:jc w:val="both"/>
        <w:rPr>
          <w:color w:val="00B050"/>
          <w:sz w:val="24"/>
        </w:rPr>
      </w:pPr>
      <w:r w:rsidRPr="00F13628">
        <w:rPr>
          <w:color w:val="00B050"/>
          <w:sz w:val="24"/>
        </w:rPr>
        <w:t>Since the proposed affordable housing policy in the Local Plan has changed, it seems appropriate to amend Policy H5 and the revised wording suggested above is agreed.</w:t>
      </w:r>
    </w:p>
    <w:p w:rsidR="005042A0" w:rsidRPr="005042A0" w:rsidRDefault="005042A0" w:rsidP="005042A0">
      <w:pPr>
        <w:tabs>
          <w:tab w:val="left" w:pos="1086"/>
        </w:tabs>
        <w:spacing w:line="276" w:lineRule="auto"/>
        <w:jc w:val="both"/>
        <w:rPr>
          <w:sz w:val="24"/>
        </w:rPr>
      </w:pPr>
    </w:p>
    <w:p w:rsidR="00295392" w:rsidRDefault="006B2E1D">
      <w:pPr>
        <w:pStyle w:val="ListParagraph"/>
        <w:numPr>
          <w:ilvl w:val="0"/>
          <w:numId w:val="1"/>
        </w:numPr>
        <w:tabs>
          <w:tab w:val="left" w:pos="1086"/>
        </w:tabs>
        <w:spacing w:line="276" w:lineRule="auto"/>
        <w:ind w:hanging="360"/>
        <w:jc w:val="both"/>
        <w:rPr>
          <w:sz w:val="24"/>
        </w:rPr>
      </w:pPr>
      <w:r>
        <w:rPr>
          <w:sz w:val="24"/>
        </w:rPr>
        <w:t>Is there an inconsistency between Policy H3 which requires the inclusion of 4+ bedroom properties on windfall sites and Policy H4 which requires the provision of 1</w:t>
      </w:r>
      <w:proofErr w:type="gramStart"/>
      <w:r>
        <w:rPr>
          <w:sz w:val="24"/>
        </w:rPr>
        <w:t>,2</w:t>
      </w:r>
      <w:proofErr w:type="gramEnd"/>
      <w:r>
        <w:rPr>
          <w:sz w:val="24"/>
        </w:rPr>
        <w:t xml:space="preserve"> and 3 bed properties and refers to an issue of under occupation of larger properties in the parish? Perhaps the QB and the LPA could both</w:t>
      </w:r>
      <w:r>
        <w:rPr>
          <w:spacing w:val="-2"/>
          <w:sz w:val="24"/>
        </w:rPr>
        <w:t xml:space="preserve"> </w:t>
      </w:r>
      <w:r>
        <w:rPr>
          <w:sz w:val="24"/>
        </w:rPr>
        <w:t>comment.</w:t>
      </w:r>
    </w:p>
    <w:p w:rsidR="004C2DFA" w:rsidRDefault="004C2DFA" w:rsidP="004C2DFA">
      <w:pPr>
        <w:tabs>
          <w:tab w:val="left" w:pos="1086"/>
        </w:tabs>
        <w:spacing w:line="276" w:lineRule="auto"/>
        <w:jc w:val="both"/>
        <w:rPr>
          <w:sz w:val="24"/>
        </w:rPr>
      </w:pPr>
    </w:p>
    <w:p w:rsidR="004C2DFA" w:rsidRPr="00B53374" w:rsidRDefault="005204C4" w:rsidP="004C2DFA">
      <w:pPr>
        <w:tabs>
          <w:tab w:val="left" w:pos="1086"/>
        </w:tabs>
        <w:spacing w:line="276" w:lineRule="auto"/>
        <w:ind w:left="1134"/>
        <w:jc w:val="both"/>
        <w:rPr>
          <w:color w:val="00B050"/>
          <w:sz w:val="24"/>
        </w:rPr>
      </w:pPr>
      <w:r w:rsidRPr="00B53374">
        <w:rPr>
          <w:color w:val="00B050"/>
          <w:sz w:val="24"/>
        </w:rPr>
        <w:t>The purpose of both policies is to ensure that new housing development provides a mix of housing to meet local need.</w:t>
      </w:r>
      <w:r w:rsidR="00BF2166" w:rsidRPr="00B53374">
        <w:rPr>
          <w:color w:val="00B050"/>
          <w:sz w:val="24"/>
        </w:rPr>
        <w:t xml:space="preserve"> Developers tend to </w:t>
      </w:r>
      <w:proofErr w:type="spellStart"/>
      <w:r w:rsidR="00BF2166" w:rsidRPr="00B53374">
        <w:rPr>
          <w:color w:val="00B050"/>
          <w:sz w:val="24"/>
        </w:rPr>
        <w:t>favour</w:t>
      </w:r>
      <w:proofErr w:type="spellEnd"/>
      <w:r w:rsidR="00BF2166" w:rsidRPr="00B53374">
        <w:rPr>
          <w:color w:val="00B050"/>
          <w:sz w:val="24"/>
        </w:rPr>
        <w:t xml:space="preserve"> large houses which </w:t>
      </w:r>
      <w:proofErr w:type="spellStart"/>
      <w:r w:rsidR="00BF2166" w:rsidRPr="00B53374">
        <w:rPr>
          <w:color w:val="00B050"/>
          <w:sz w:val="24"/>
        </w:rPr>
        <w:t>maximise</w:t>
      </w:r>
      <w:proofErr w:type="spellEnd"/>
      <w:r w:rsidR="00BF2166" w:rsidRPr="00B53374">
        <w:rPr>
          <w:color w:val="00B050"/>
          <w:sz w:val="24"/>
        </w:rPr>
        <w:t xml:space="preserve"> profits but don’t redress the imbalance in the local housing market.</w:t>
      </w:r>
    </w:p>
    <w:p w:rsidR="006F325A" w:rsidRPr="00B53374" w:rsidRDefault="006F325A" w:rsidP="004C2DFA">
      <w:pPr>
        <w:tabs>
          <w:tab w:val="left" w:pos="1086"/>
        </w:tabs>
        <w:spacing w:line="276" w:lineRule="auto"/>
        <w:ind w:left="1134"/>
        <w:jc w:val="both"/>
        <w:rPr>
          <w:color w:val="00B050"/>
          <w:sz w:val="24"/>
        </w:rPr>
      </w:pPr>
    </w:p>
    <w:p w:rsidR="006F325A" w:rsidRPr="00B53374" w:rsidRDefault="006F325A" w:rsidP="006F325A">
      <w:pPr>
        <w:tabs>
          <w:tab w:val="left" w:pos="1086"/>
        </w:tabs>
        <w:spacing w:line="276" w:lineRule="auto"/>
        <w:ind w:left="1134" w:right="136"/>
        <w:jc w:val="both"/>
        <w:rPr>
          <w:color w:val="00B050"/>
          <w:sz w:val="24"/>
        </w:rPr>
      </w:pPr>
      <w:r w:rsidRPr="00B53374">
        <w:rPr>
          <w:color w:val="00B050"/>
          <w:sz w:val="24"/>
        </w:rPr>
        <w:t>H3 supports larger homes but only if in a minority of the overall numbers, whilst H4 specifically supports the provision of smaller houses within an overall mix. The intention of both</w:t>
      </w:r>
      <w:r w:rsidR="0031355E" w:rsidRPr="00B53374">
        <w:rPr>
          <w:color w:val="00B050"/>
          <w:sz w:val="24"/>
        </w:rPr>
        <w:t xml:space="preserve"> policies is therefore the same. H</w:t>
      </w:r>
      <w:r w:rsidRPr="00B53374">
        <w:rPr>
          <w:color w:val="00B050"/>
          <w:sz w:val="24"/>
        </w:rPr>
        <w:t>owever H4 could be strengthened and aligned more with H3 if the words ‘4+ bedroom properties can be included in the mix of dwellings, but only where they comprise a clear minority of the overall total’.</w:t>
      </w:r>
    </w:p>
    <w:p w:rsidR="004C2DFA" w:rsidRPr="00851004" w:rsidRDefault="004C2DFA" w:rsidP="004C2DFA">
      <w:pPr>
        <w:tabs>
          <w:tab w:val="left" w:pos="1086"/>
        </w:tabs>
        <w:spacing w:line="276" w:lineRule="auto"/>
        <w:jc w:val="both"/>
        <w:rPr>
          <w:sz w:val="24"/>
        </w:rPr>
      </w:pPr>
    </w:p>
    <w:p w:rsidR="00295392" w:rsidRPr="00851004" w:rsidRDefault="006B2E1D">
      <w:pPr>
        <w:pStyle w:val="ListParagraph"/>
        <w:numPr>
          <w:ilvl w:val="0"/>
          <w:numId w:val="1"/>
        </w:numPr>
        <w:tabs>
          <w:tab w:val="left" w:pos="1086"/>
        </w:tabs>
        <w:spacing w:line="276" w:lineRule="auto"/>
        <w:ind w:hanging="360"/>
        <w:jc w:val="both"/>
        <w:rPr>
          <w:sz w:val="24"/>
        </w:rPr>
      </w:pPr>
      <w:r w:rsidRPr="00851004">
        <w:rPr>
          <w:sz w:val="24"/>
        </w:rPr>
        <w:t>A number of policies e.g. ENV 3 and EN7 refer to “Permitted development” which has a specific meaning in planning terminology, as development covered by the General Permitted Development Orders. Is that the intention or is it a reference to development which has been permitted by the grant of a specific planning consent? Could the QB please</w:t>
      </w:r>
      <w:r w:rsidRPr="00851004">
        <w:rPr>
          <w:spacing w:val="-10"/>
          <w:sz w:val="24"/>
        </w:rPr>
        <w:t xml:space="preserve"> </w:t>
      </w:r>
      <w:r w:rsidRPr="00851004">
        <w:rPr>
          <w:sz w:val="24"/>
        </w:rPr>
        <w:t>clarify?</w:t>
      </w:r>
    </w:p>
    <w:p w:rsidR="006F325A" w:rsidRPr="000B7131" w:rsidRDefault="006F325A" w:rsidP="006F325A">
      <w:pPr>
        <w:tabs>
          <w:tab w:val="left" w:pos="1086"/>
        </w:tabs>
        <w:spacing w:line="276" w:lineRule="auto"/>
        <w:jc w:val="both"/>
        <w:rPr>
          <w:color w:val="FF0000"/>
          <w:sz w:val="24"/>
        </w:rPr>
      </w:pPr>
    </w:p>
    <w:p w:rsidR="006F325A" w:rsidRPr="00B53374" w:rsidRDefault="006F325A" w:rsidP="000B7131">
      <w:pPr>
        <w:tabs>
          <w:tab w:val="left" w:pos="1086"/>
        </w:tabs>
        <w:spacing w:line="276" w:lineRule="auto"/>
        <w:ind w:left="1134" w:right="136"/>
        <w:jc w:val="both"/>
        <w:rPr>
          <w:color w:val="00B050"/>
          <w:sz w:val="24"/>
        </w:rPr>
      </w:pPr>
      <w:r w:rsidRPr="00B53374">
        <w:rPr>
          <w:color w:val="00B050"/>
          <w:sz w:val="24"/>
        </w:rPr>
        <w:t xml:space="preserve">The intention of this policy is to ensure that the determination of future planning applications take the specific features identified in the policy into account. It is not intended to relate to </w:t>
      </w:r>
      <w:r w:rsidR="000B7131" w:rsidRPr="00B53374">
        <w:rPr>
          <w:color w:val="00B050"/>
          <w:sz w:val="24"/>
        </w:rPr>
        <w:t xml:space="preserve">General Permitted Development Orders. We </w:t>
      </w:r>
      <w:proofErr w:type="spellStart"/>
      <w:r w:rsidR="000B7131" w:rsidRPr="00B53374">
        <w:rPr>
          <w:color w:val="00B050"/>
          <w:sz w:val="24"/>
        </w:rPr>
        <w:t>apologise</w:t>
      </w:r>
      <w:proofErr w:type="spellEnd"/>
      <w:r w:rsidR="000B7131" w:rsidRPr="00B53374">
        <w:rPr>
          <w:color w:val="00B050"/>
          <w:sz w:val="24"/>
        </w:rPr>
        <w:t xml:space="preserve"> for the confusion this proposed wording caused.</w:t>
      </w:r>
      <w:r w:rsidR="0031355E" w:rsidRPr="00B53374">
        <w:rPr>
          <w:color w:val="00B050"/>
          <w:sz w:val="24"/>
        </w:rPr>
        <w:t xml:space="preserve"> A revised form of wording for P</w:t>
      </w:r>
      <w:r w:rsidR="000B7131" w:rsidRPr="00B53374">
        <w:rPr>
          <w:color w:val="00B050"/>
          <w:sz w:val="24"/>
        </w:rPr>
        <w:t xml:space="preserve">olicy </w:t>
      </w:r>
      <w:proofErr w:type="spellStart"/>
      <w:r w:rsidR="000B7131" w:rsidRPr="00B53374">
        <w:rPr>
          <w:color w:val="00B050"/>
          <w:sz w:val="24"/>
        </w:rPr>
        <w:t>Env</w:t>
      </w:r>
      <w:proofErr w:type="spellEnd"/>
      <w:r w:rsidR="000B7131" w:rsidRPr="00B53374">
        <w:rPr>
          <w:color w:val="00B050"/>
          <w:sz w:val="24"/>
        </w:rPr>
        <w:t xml:space="preserve"> 3 could say ‘</w:t>
      </w:r>
      <w:r w:rsidR="000B7131" w:rsidRPr="00B53374">
        <w:rPr>
          <w:b/>
          <w:color w:val="00B050"/>
          <w:sz w:val="24"/>
        </w:rPr>
        <w:t>development proposals</w:t>
      </w:r>
      <w:r w:rsidR="000B7131" w:rsidRPr="00B53374">
        <w:rPr>
          <w:color w:val="00B050"/>
          <w:sz w:val="24"/>
        </w:rPr>
        <w:t xml:space="preserve"> expected to protect and enhance wi</w:t>
      </w:r>
      <w:r w:rsidR="0031355E" w:rsidRPr="00B53374">
        <w:rPr>
          <w:color w:val="00B050"/>
          <w:sz w:val="24"/>
        </w:rPr>
        <w:t>ldlife corridors and …’ whilst P</w:t>
      </w:r>
      <w:r w:rsidR="000B7131" w:rsidRPr="00B53374">
        <w:rPr>
          <w:color w:val="00B050"/>
          <w:sz w:val="24"/>
        </w:rPr>
        <w:t xml:space="preserve">olicy </w:t>
      </w:r>
      <w:proofErr w:type="spellStart"/>
      <w:r w:rsidR="000B7131" w:rsidRPr="00B53374">
        <w:rPr>
          <w:color w:val="00B050"/>
          <w:sz w:val="24"/>
        </w:rPr>
        <w:t>Env</w:t>
      </w:r>
      <w:proofErr w:type="spellEnd"/>
      <w:r w:rsidR="000B7131" w:rsidRPr="00B53374">
        <w:rPr>
          <w:color w:val="00B050"/>
          <w:sz w:val="24"/>
        </w:rPr>
        <w:t xml:space="preserve"> 7 could say ‘</w:t>
      </w:r>
      <w:r w:rsidR="000B7131" w:rsidRPr="00B53374">
        <w:rPr>
          <w:b/>
          <w:color w:val="00B050"/>
          <w:sz w:val="24"/>
        </w:rPr>
        <w:t xml:space="preserve">development proposals in the identified gaps between the villages should </w:t>
      </w:r>
      <w:r w:rsidR="000B7131" w:rsidRPr="00B53374">
        <w:rPr>
          <w:color w:val="00B050"/>
          <w:sz w:val="24"/>
        </w:rPr>
        <w:t>be located to maintain the separation of the villages and, wherever possible, will be designed to enhance the rural character of the areas between the villages.</w:t>
      </w:r>
    </w:p>
    <w:p w:rsidR="006F325A" w:rsidRPr="006F325A" w:rsidRDefault="006F325A" w:rsidP="006F325A">
      <w:pPr>
        <w:tabs>
          <w:tab w:val="left" w:pos="1086"/>
        </w:tabs>
        <w:spacing w:line="276" w:lineRule="auto"/>
        <w:jc w:val="both"/>
        <w:rPr>
          <w:sz w:val="24"/>
        </w:rPr>
      </w:pPr>
    </w:p>
    <w:p w:rsidR="00295392" w:rsidRDefault="006B2E1D">
      <w:pPr>
        <w:pStyle w:val="ListParagraph"/>
        <w:numPr>
          <w:ilvl w:val="0"/>
          <w:numId w:val="1"/>
        </w:numPr>
        <w:tabs>
          <w:tab w:val="left" w:pos="1086"/>
        </w:tabs>
        <w:spacing w:line="276" w:lineRule="auto"/>
        <w:ind w:hanging="360"/>
        <w:jc w:val="both"/>
        <w:rPr>
          <w:sz w:val="24"/>
        </w:rPr>
      </w:pPr>
      <w:r>
        <w:rPr>
          <w:sz w:val="24"/>
        </w:rPr>
        <w:t>Policy CF1 refers to buildings and land currently or last used as a community facility. In order to avoid uncertainty as to what facilities are covered by the policy, at development management stage, I would wish to see a list of the plan area’s community facilities and for these to be shown on a map including showing the extent of the</w:t>
      </w:r>
      <w:r>
        <w:rPr>
          <w:spacing w:val="-10"/>
          <w:sz w:val="24"/>
        </w:rPr>
        <w:t xml:space="preserve"> </w:t>
      </w:r>
      <w:r>
        <w:rPr>
          <w:sz w:val="24"/>
        </w:rPr>
        <w:t>sites.</w:t>
      </w:r>
    </w:p>
    <w:p w:rsidR="000B7131" w:rsidRDefault="000B7131" w:rsidP="000B7131">
      <w:pPr>
        <w:tabs>
          <w:tab w:val="left" w:pos="1086"/>
        </w:tabs>
        <w:spacing w:line="276" w:lineRule="auto"/>
        <w:jc w:val="both"/>
        <w:rPr>
          <w:sz w:val="24"/>
        </w:rPr>
      </w:pPr>
    </w:p>
    <w:p w:rsidR="000B7131" w:rsidRPr="00644CB5" w:rsidRDefault="00644CB5" w:rsidP="000B7131">
      <w:pPr>
        <w:tabs>
          <w:tab w:val="left" w:pos="1086"/>
        </w:tabs>
        <w:spacing w:line="276" w:lineRule="auto"/>
        <w:ind w:left="1134"/>
        <w:jc w:val="both"/>
        <w:rPr>
          <w:color w:val="00B050"/>
          <w:sz w:val="24"/>
        </w:rPr>
      </w:pPr>
      <w:r w:rsidRPr="00644CB5">
        <w:rPr>
          <w:color w:val="00B050"/>
          <w:sz w:val="24"/>
        </w:rPr>
        <w:t>This information is being provided in a separate document.</w:t>
      </w:r>
    </w:p>
    <w:p w:rsidR="00851004" w:rsidRDefault="00851004" w:rsidP="000B7131">
      <w:pPr>
        <w:tabs>
          <w:tab w:val="left" w:pos="1086"/>
        </w:tabs>
        <w:spacing w:line="276" w:lineRule="auto"/>
        <w:ind w:left="1134"/>
        <w:jc w:val="both"/>
        <w:rPr>
          <w:color w:val="FF0000"/>
          <w:sz w:val="24"/>
        </w:rPr>
      </w:pPr>
    </w:p>
    <w:p w:rsidR="00851004" w:rsidRPr="00851004" w:rsidRDefault="00851004" w:rsidP="00851004">
      <w:pPr>
        <w:tabs>
          <w:tab w:val="left" w:pos="1086"/>
        </w:tabs>
        <w:spacing w:line="276" w:lineRule="auto"/>
        <w:ind w:left="1134"/>
        <w:jc w:val="both"/>
        <w:rPr>
          <w:color w:val="FF0000"/>
          <w:sz w:val="24"/>
        </w:rPr>
      </w:pPr>
    </w:p>
    <w:p w:rsidR="00295392" w:rsidRDefault="006B2E1D" w:rsidP="00142567">
      <w:pPr>
        <w:pStyle w:val="ListParagraph"/>
        <w:numPr>
          <w:ilvl w:val="0"/>
          <w:numId w:val="1"/>
        </w:numPr>
        <w:tabs>
          <w:tab w:val="left" w:pos="1153"/>
        </w:tabs>
        <w:spacing w:before="69" w:line="276" w:lineRule="auto"/>
        <w:ind w:hanging="360"/>
        <w:jc w:val="both"/>
      </w:pPr>
      <w:r w:rsidRPr="00142567">
        <w:rPr>
          <w:sz w:val="24"/>
        </w:rPr>
        <w:t xml:space="preserve">I have some comments regarding the scoring methodology used for the selection of LGS. Paragraph 77 of the NPPF sets out 3 criteria to be used to decide whether the sites are appropriate and in the second criterion gives examples of possible attributes that could constitute “particular local significance”. </w:t>
      </w:r>
      <w:r w:rsidRPr="00142567">
        <w:rPr>
          <w:spacing w:val="55"/>
          <w:sz w:val="24"/>
        </w:rPr>
        <w:t xml:space="preserve"> </w:t>
      </w:r>
      <w:r w:rsidRPr="00142567">
        <w:rPr>
          <w:sz w:val="24"/>
        </w:rPr>
        <w:t>However,</w:t>
      </w:r>
      <w:r w:rsidRPr="00142567">
        <w:rPr>
          <w:spacing w:val="27"/>
          <w:sz w:val="24"/>
        </w:rPr>
        <w:t xml:space="preserve"> </w:t>
      </w:r>
      <w:r w:rsidRPr="00142567">
        <w:rPr>
          <w:sz w:val="24"/>
        </w:rPr>
        <w:t>the</w:t>
      </w:r>
      <w:r w:rsidRPr="00142567">
        <w:rPr>
          <w:spacing w:val="27"/>
          <w:sz w:val="24"/>
        </w:rPr>
        <w:t xml:space="preserve"> </w:t>
      </w:r>
      <w:r w:rsidRPr="00142567">
        <w:rPr>
          <w:sz w:val="24"/>
        </w:rPr>
        <w:t>Steering</w:t>
      </w:r>
      <w:r w:rsidRPr="00142567">
        <w:rPr>
          <w:spacing w:val="27"/>
          <w:sz w:val="24"/>
        </w:rPr>
        <w:t xml:space="preserve"> </w:t>
      </w:r>
      <w:r w:rsidRPr="00142567">
        <w:rPr>
          <w:sz w:val="24"/>
        </w:rPr>
        <w:t>Group</w:t>
      </w:r>
      <w:r w:rsidRPr="00142567">
        <w:rPr>
          <w:spacing w:val="27"/>
          <w:sz w:val="24"/>
        </w:rPr>
        <w:t xml:space="preserve"> </w:t>
      </w:r>
      <w:r w:rsidRPr="00142567">
        <w:rPr>
          <w:sz w:val="24"/>
        </w:rPr>
        <w:t>has</w:t>
      </w:r>
      <w:r w:rsidRPr="00142567">
        <w:rPr>
          <w:spacing w:val="27"/>
          <w:sz w:val="24"/>
        </w:rPr>
        <w:t xml:space="preserve"> </w:t>
      </w:r>
      <w:r w:rsidRPr="00142567">
        <w:rPr>
          <w:sz w:val="24"/>
        </w:rPr>
        <w:t>seen</w:t>
      </w:r>
      <w:r w:rsidRPr="00142567">
        <w:rPr>
          <w:spacing w:val="27"/>
          <w:sz w:val="24"/>
        </w:rPr>
        <w:t xml:space="preserve"> </w:t>
      </w:r>
      <w:r w:rsidRPr="00142567">
        <w:rPr>
          <w:sz w:val="24"/>
        </w:rPr>
        <w:t>them</w:t>
      </w:r>
      <w:r w:rsidRPr="00142567">
        <w:rPr>
          <w:spacing w:val="27"/>
          <w:sz w:val="24"/>
        </w:rPr>
        <w:t xml:space="preserve"> </w:t>
      </w:r>
      <w:r w:rsidRPr="00142567">
        <w:rPr>
          <w:sz w:val="24"/>
        </w:rPr>
        <w:t>as</w:t>
      </w:r>
      <w:r w:rsidRPr="00142567">
        <w:rPr>
          <w:spacing w:val="27"/>
          <w:sz w:val="24"/>
        </w:rPr>
        <w:t xml:space="preserve"> </w:t>
      </w:r>
      <w:r w:rsidRPr="00142567">
        <w:rPr>
          <w:sz w:val="24"/>
        </w:rPr>
        <w:t>capable</w:t>
      </w:r>
      <w:r w:rsidRPr="00142567">
        <w:rPr>
          <w:spacing w:val="27"/>
          <w:sz w:val="24"/>
        </w:rPr>
        <w:t xml:space="preserve"> </w:t>
      </w:r>
      <w:r w:rsidRPr="00142567">
        <w:rPr>
          <w:sz w:val="24"/>
        </w:rPr>
        <w:t>of</w:t>
      </w:r>
      <w:r w:rsidR="00142567">
        <w:rPr>
          <w:sz w:val="24"/>
        </w:rPr>
        <w:t xml:space="preserve"> </w:t>
      </w:r>
      <w:r>
        <w:t xml:space="preserve">being scored separately. If a site displayed historic significance and </w:t>
      </w:r>
      <w:proofErr w:type="spellStart"/>
      <w:r>
        <w:t>tranquillity</w:t>
      </w:r>
      <w:proofErr w:type="spellEnd"/>
      <w:r>
        <w:t xml:space="preserve"> with ecological importance would score higher than say a village sports field. I do not think that was the way the NPPF was drafted to secure the protection of LGS. However, I would appreciate understanding why the QB adopted this approach.</w:t>
      </w:r>
    </w:p>
    <w:p w:rsidR="00334798" w:rsidRDefault="00334798" w:rsidP="00334798">
      <w:pPr>
        <w:tabs>
          <w:tab w:val="left" w:pos="1153"/>
        </w:tabs>
        <w:spacing w:before="69" w:line="276" w:lineRule="auto"/>
        <w:jc w:val="both"/>
      </w:pPr>
    </w:p>
    <w:p w:rsidR="00334798" w:rsidRPr="00B53374" w:rsidRDefault="00334798" w:rsidP="00334798">
      <w:pPr>
        <w:tabs>
          <w:tab w:val="left" w:pos="1153"/>
        </w:tabs>
        <w:spacing w:before="69" w:line="276" w:lineRule="auto"/>
        <w:ind w:left="1134"/>
        <w:jc w:val="both"/>
        <w:rPr>
          <w:color w:val="00B050"/>
          <w:sz w:val="24"/>
          <w:szCs w:val="24"/>
        </w:rPr>
      </w:pPr>
      <w:r w:rsidRPr="00B53374">
        <w:rPr>
          <w:color w:val="00B050"/>
          <w:sz w:val="24"/>
          <w:szCs w:val="24"/>
        </w:rPr>
        <w:t>The Advisory Committee was keen to ensure that there was a clear and transparent methodology for determining the most important local open spaces</w:t>
      </w:r>
      <w:r w:rsidR="004A5686" w:rsidRPr="00B53374">
        <w:rPr>
          <w:color w:val="00B050"/>
          <w:sz w:val="24"/>
          <w:szCs w:val="24"/>
        </w:rPr>
        <w:t xml:space="preserve"> and ultimately sites to be put forward for LGS designation, </w:t>
      </w:r>
      <w:proofErr w:type="spellStart"/>
      <w:r w:rsidR="004A5686" w:rsidRPr="00B53374">
        <w:rPr>
          <w:color w:val="00B050"/>
          <w:sz w:val="24"/>
          <w:szCs w:val="24"/>
        </w:rPr>
        <w:t>recognising</w:t>
      </w:r>
      <w:proofErr w:type="spellEnd"/>
      <w:r w:rsidR="004A5686" w:rsidRPr="00B53374">
        <w:rPr>
          <w:color w:val="00B050"/>
          <w:sz w:val="24"/>
          <w:szCs w:val="24"/>
        </w:rPr>
        <w:t xml:space="preserve"> the high degree of protection afforded</w:t>
      </w:r>
      <w:r w:rsidRPr="00B53374">
        <w:rPr>
          <w:color w:val="00B050"/>
          <w:sz w:val="24"/>
          <w:szCs w:val="24"/>
        </w:rPr>
        <w:t xml:space="preserve">. It considered that approaches undertaken in other </w:t>
      </w:r>
      <w:proofErr w:type="spellStart"/>
      <w:r w:rsidRPr="00B53374">
        <w:rPr>
          <w:color w:val="00B050"/>
          <w:sz w:val="24"/>
          <w:szCs w:val="24"/>
        </w:rPr>
        <w:t>neighbourhood</w:t>
      </w:r>
      <w:proofErr w:type="spellEnd"/>
      <w:r w:rsidRPr="00B53374">
        <w:rPr>
          <w:color w:val="00B050"/>
          <w:sz w:val="24"/>
          <w:szCs w:val="24"/>
        </w:rPr>
        <w:t xml:space="preserve"> plans </w:t>
      </w:r>
      <w:r w:rsidR="009B5CDB" w:rsidRPr="00B53374">
        <w:rPr>
          <w:color w:val="00B050"/>
          <w:sz w:val="24"/>
          <w:szCs w:val="24"/>
        </w:rPr>
        <w:t xml:space="preserve">- where specific sites were selected, described and put forward for examination - </w:t>
      </w:r>
      <w:r w:rsidRPr="00B53374">
        <w:rPr>
          <w:color w:val="00B050"/>
          <w:sz w:val="24"/>
          <w:szCs w:val="24"/>
        </w:rPr>
        <w:t xml:space="preserve">failed to consider the merits of </w:t>
      </w:r>
      <w:r w:rsidR="009B5CDB" w:rsidRPr="00B53374">
        <w:rPr>
          <w:color w:val="00B050"/>
          <w:sz w:val="24"/>
          <w:szCs w:val="24"/>
        </w:rPr>
        <w:t xml:space="preserve">each of </w:t>
      </w:r>
      <w:r w:rsidRPr="00B53374">
        <w:rPr>
          <w:color w:val="00B050"/>
          <w:sz w:val="24"/>
          <w:szCs w:val="24"/>
        </w:rPr>
        <w:t xml:space="preserve">the chosen sites against </w:t>
      </w:r>
      <w:r w:rsidR="009B5CDB" w:rsidRPr="00B53374">
        <w:rPr>
          <w:color w:val="00B050"/>
          <w:sz w:val="24"/>
          <w:szCs w:val="24"/>
        </w:rPr>
        <w:t xml:space="preserve">other open spaces locally and therefore left itself open to challenge. By only considering the sites put forward, the </w:t>
      </w:r>
      <w:proofErr w:type="spellStart"/>
      <w:r w:rsidR="009B5CDB" w:rsidRPr="00B53374">
        <w:rPr>
          <w:color w:val="00B050"/>
          <w:sz w:val="24"/>
          <w:szCs w:val="24"/>
        </w:rPr>
        <w:t>neighbourhood</w:t>
      </w:r>
      <w:proofErr w:type="spellEnd"/>
      <w:r w:rsidR="009B5CDB" w:rsidRPr="00B53374">
        <w:rPr>
          <w:color w:val="00B050"/>
          <w:sz w:val="24"/>
          <w:szCs w:val="24"/>
        </w:rPr>
        <w:t xml:space="preserve"> plan could identify </w:t>
      </w:r>
      <w:r w:rsidR="009B5CDB" w:rsidRPr="00B53374">
        <w:rPr>
          <w:i/>
          <w:color w:val="00B050"/>
          <w:sz w:val="24"/>
          <w:szCs w:val="24"/>
        </w:rPr>
        <w:t>special</w:t>
      </w:r>
      <w:r w:rsidR="009B5CDB" w:rsidRPr="00B53374">
        <w:rPr>
          <w:color w:val="00B050"/>
          <w:sz w:val="24"/>
          <w:szCs w:val="24"/>
        </w:rPr>
        <w:t xml:space="preserve"> sites but not necessarily ones of </w:t>
      </w:r>
      <w:r w:rsidR="009B5CDB" w:rsidRPr="00B53374">
        <w:rPr>
          <w:i/>
          <w:color w:val="00B050"/>
          <w:sz w:val="24"/>
          <w:szCs w:val="24"/>
        </w:rPr>
        <w:t>particular</w:t>
      </w:r>
      <w:r w:rsidR="009B5CDB" w:rsidRPr="00B53374">
        <w:rPr>
          <w:color w:val="00B050"/>
          <w:sz w:val="24"/>
          <w:szCs w:val="24"/>
        </w:rPr>
        <w:t xml:space="preserve"> local significance. </w:t>
      </w:r>
    </w:p>
    <w:p w:rsidR="00EC224F" w:rsidRPr="00B53374" w:rsidRDefault="009B5CDB" w:rsidP="00EC224F">
      <w:pPr>
        <w:tabs>
          <w:tab w:val="left" w:pos="1153"/>
        </w:tabs>
        <w:spacing w:before="69" w:line="276" w:lineRule="auto"/>
        <w:ind w:left="1134"/>
        <w:jc w:val="both"/>
        <w:rPr>
          <w:color w:val="00B050"/>
          <w:sz w:val="24"/>
          <w:szCs w:val="24"/>
        </w:rPr>
      </w:pPr>
      <w:r w:rsidRPr="00B53374">
        <w:rPr>
          <w:color w:val="00B050"/>
          <w:sz w:val="24"/>
          <w:szCs w:val="24"/>
        </w:rPr>
        <w:t>An extremely thorough and comprehensive process was therefore undertaken by members of an Environmental Theme Group</w:t>
      </w:r>
      <w:r w:rsidR="004A5686" w:rsidRPr="00B53374">
        <w:rPr>
          <w:color w:val="00B050"/>
          <w:sz w:val="24"/>
          <w:szCs w:val="24"/>
        </w:rPr>
        <w:t>,</w:t>
      </w:r>
      <w:r w:rsidRPr="00B53374">
        <w:rPr>
          <w:color w:val="00B050"/>
          <w:sz w:val="24"/>
          <w:szCs w:val="24"/>
        </w:rPr>
        <w:t xml:space="preserve"> </w:t>
      </w:r>
      <w:r w:rsidR="004A5686" w:rsidRPr="00B53374">
        <w:rPr>
          <w:color w:val="00B050"/>
          <w:sz w:val="24"/>
          <w:szCs w:val="24"/>
        </w:rPr>
        <w:t>reporting</w:t>
      </w:r>
      <w:r w:rsidRPr="00B53374">
        <w:rPr>
          <w:color w:val="00B050"/>
          <w:sz w:val="24"/>
          <w:szCs w:val="24"/>
        </w:rPr>
        <w:t xml:space="preserve"> to the Advisory Committee</w:t>
      </w:r>
      <w:r w:rsidR="004A5686" w:rsidRPr="00B53374">
        <w:rPr>
          <w:color w:val="00B050"/>
          <w:sz w:val="24"/>
          <w:szCs w:val="24"/>
        </w:rPr>
        <w:t>,</w:t>
      </w:r>
      <w:r w:rsidRPr="00B53374">
        <w:rPr>
          <w:color w:val="00B050"/>
          <w:sz w:val="24"/>
          <w:szCs w:val="24"/>
        </w:rPr>
        <w:t xml:space="preserve"> which sought </w:t>
      </w:r>
      <w:r w:rsidR="004A5686" w:rsidRPr="00B53374">
        <w:rPr>
          <w:color w:val="00B050"/>
          <w:sz w:val="24"/>
          <w:szCs w:val="24"/>
        </w:rPr>
        <w:t>to rank each open space in the P</w:t>
      </w:r>
      <w:r w:rsidRPr="00B53374">
        <w:rPr>
          <w:color w:val="00B050"/>
          <w:sz w:val="24"/>
          <w:szCs w:val="24"/>
        </w:rPr>
        <w:t xml:space="preserve">lan area. It based this ranking on the </w:t>
      </w:r>
      <w:r w:rsidR="004A5686" w:rsidRPr="00B53374">
        <w:rPr>
          <w:color w:val="00B050"/>
          <w:sz w:val="24"/>
          <w:szCs w:val="24"/>
        </w:rPr>
        <w:t xml:space="preserve">criteria identified in the NPPF and was open and transparent about the process undertaken. The NPPF is unclear </w:t>
      </w:r>
      <w:r w:rsidR="00EC224F" w:rsidRPr="00B53374">
        <w:rPr>
          <w:color w:val="00B050"/>
          <w:sz w:val="24"/>
          <w:szCs w:val="24"/>
        </w:rPr>
        <w:t>as to whether individual aspects should be seen individually or in combination, but the approach taken was to score each valued aspect on the basis that a site with several of them was more likely to be of greater local significance.</w:t>
      </w:r>
      <w:r w:rsidR="0024249C" w:rsidRPr="00B53374">
        <w:rPr>
          <w:color w:val="00B050"/>
          <w:sz w:val="24"/>
          <w:szCs w:val="24"/>
        </w:rPr>
        <w:t xml:space="preserve"> Those sites which scored most highly and beyond a threshold were proposed as LGS designations as being demonstrably significant compared to all other local sites. The process also identified other sites, which although not sufficiently special to warrant designation as LGS nonetheless contained important features. The </w:t>
      </w:r>
      <w:proofErr w:type="spellStart"/>
      <w:r w:rsidR="0024249C" w:rsidRPr="00B53374">
        <w:rPr>
          <w:color w:val="00B050"/>
          <w:sz w:val="24"/>
          <w:szCs w:val="24"/>
        </w:rPr>
        <w:t>neighbourhood</w:t>
      </w:r>
      <w:proofErr w:type="spellEnd"/>
      <w:r w:rsidR="0024249C" w:rsidRPr="00B53374">
        <w:rPr>
          <w:color w:val="00B050"/>
          <w:sz w:val="24"/>
          <w:szCs w:val="24"/>
        </w:rPr>
        <w:t xml:space="preserve"> plan seeks to ensure that development proposals take these important features into account to help safeguard all locally important features.</w:t>
      </w:r>
    </w:p>
    <w:p w:rsidR="00EC224F" w:rsidRPr="00B53374" w:rsidRDefault="00EC224F" w:rsidP="00855D35">
      <w:pPr>
        <w:tabs>
          <w:tab w:val="left" w:pos="1153"/>
        </w:tabs>
        <w:spacing w:before="69" w:line="276" w:lineRule="auto"/>
        <w:ind w:left="1134" w:right="136"/>
        <w:jc w:val="both"/>
        <w:rPr>
          <w:color w:val="00B050"/>
          <w:sz w:val="24"/>
          <w:szCs w:val="24"/>
        </w:rPr>
      </w:pPr>
      <w:r w:rsidRPr="00B53374">
        <w:rPr>
          <w:color w:val="00B050"/>
          <w:sz w:val="24"/>
          <w:szCs w:val="24"/>
        </w:rPr>
        <w:t xml:space="preserve">This is a measurable approach which is based on the NPPF criteria and aids an understanding of relative importance. It was based on approaches undertaken in Made </w:t>
      </w:r>
      <w:proofErr w:type="spellStart"/>
      <w:r w:rsidRPr="00B53374">
        <w:rPr>
          <w:color w:val="00B050"/>
          <w:sz w:val="24"/>
          <w:szCs w:val="24"/>
        </w:rPr>
        <w:t>neighbourhood</w:t>
      </w:r>
      <w:proofErr w:type="spellEnd"/>
      <w:r w:rsidRPr="00B53374">
        <w:rPr>
          <w:color w:val="00B050"/>
          <w:sz w:val="24"/>
          <w:szCs w:val="24"/>
        </w:rPr>
        <w:t xml:space="preserve"> plans elsewhere in Leicestershire (</w:t>
      </w:r>
      <w:proofErr w:type="spellStart"/>
      <w:r w:rsidRPr="00B53374">
        <w:rPr>
          <w:color w:val="00B050"/>
          <w:sz w:val="24"/>
          <w:szCs w:val="24"/>
        </w:rPr>
        <w:t>Thurcaston</w:t>
      </w:r>
      <w:proofErr w:type="spellEnd"/>
      <w:r w:rsidRPr="00B53374">
        <w:rPr>
          <w:color w:val="00B050"/>
          <w:sz w:val="24"/>
          <w:szCs w:val="24"/>
        </w:rPr>
        <w:t xml:space="preserve"> and </w:t>
      </w:r>
      <w:proofErr w:type="spellStart"/>
      <w:r w:rsidRPr="00B53374">
        <w:rPr>
          <w:color w:val="00B050"/>
          <w:sz w:val="24"/>
          <w:szCs w:val="24"/>
        </w:rPr>
        <w:t>Cropston</w:t>
      </w:r>
      <w:proofErr w:type="spellEnd"/>
      <w:r w:rsidRPr="00B53374">
        <w:rPr>
          <w:color w:val="00B050"/>
          <w:sz w:val="24"/>
          <w:szCs w:val="24"/>
        </w:rPr>
        <w:t xml:space="preserve"> in </w:t>
      </w:r>
      <w:proofErr w:type="spellStart"/>
      <w:r w:rsidRPr="00B53374">
        <w:rPr>
          <w:color w:val="00B050"/>
          <w:sz w:val="24"/>
          <w:szCs w:val="24"/>
        </w:rPr>
        <w:t>Charnwood</w:t>
      </w:r>
      <w:proofErr w:type="spellEnd"/>
      <w:r w:rsidRPr="00B53374">
        <w:rPr>
          <w:color w:val="00B050"/>
          <w:sz w:val="24"/>
          <w:szCs w:val="24"/>
        </w:rPr>
        <w:t xml:space="preserve"> Borough and </w:t>
      </w:r>
      <w:proofErr w:type="spellStart"/>
      <w:r w:rsidRPr="00B53374">
        <w:rPr>
          <w:color w:val="00B050"/>
          <w:sz w:val="24"/>
          <w:szCs w:val="24"/>
        </w:rPr>
        <w:t>Hungarton</w:t>
      </w:r>
      <w:proofErr w:type="spellEnd"/>
      <w:r w:rsidRPr="00B53374">
        <w:rPr>
          <w:color w:val="00B050"/>
          <w:sz w:val="24"/>
          <w:szCs w:val="24"/>
        </w:rPr>
        <w:t xml:space="preserve"> in </w:t>
      </w:r>
      <w:proofErr w:type="spellStart"/>
      <w:r w:rsidRPr="00B53374">
        <w:rPr>
          <w:color w:val="00B050"/>
          <w:sz w:val="24"/>
          <w:szCs w:val="24"/>
        </w:rPr>
        <w:t>Harborough</w:t>
      </w:r>
      <w:proofErr w:type="spellEnd"/>
      <w:r w:rsidRPr="00B53374">
        <w:rPr>
          <w:color w:val="00B050"/>
          <w:sz w:val="24"/>
          <w:szCs w:val="24"/>
        </w:rPr>
        <w:t xml:space="preserve"> District) as well as other </w:t>
      </w:r>
      <w:proofErr w:type="spellStart"/>
      <w:r w:rsidRPr="00B53374">
        <w:rPr>
          <w:color w:val="00B050"/>
          <w:sz w:val="24"/>
          <w:szCs w:val="24"/>
        </w:rPr>
        <w:t>neighbourhood</w:t>
      </w:r>
      <w:proofErr w:type="spellEnd"/>
      <w:r w:rsidRPr="00B53374">
        <w:rPr>
          <w:color w:val="00B050"/>
          <w:sz w:val="24"/>
          <w:szCs w:val="24"/>
        </w:rPr>
        <w:t xml:space="preserve"> plans in Leicestershire that have passed Examination (for example Wymondham and </w:t>
      </w:r>
      <w:proofErr w:type="spellStart"/>
      <w:r w:rsidRPr="00B53374">
        <w:rPr>
          <w:color w:val="00B050"/>
          <w:sz w:val="24"/>
          <w:szCs w:val="24"/>
        </w:rPr>
        <w:t>Edmondthorpe</w:t>
      </w:r>
      <w:proofErr w:type="spellEnd"/>
      <w:r w:rsidRPr="00B53374">
        <w:rPr>
          <w:color w:val="00B050"/>
          <w:sz w:val="24"/>
          <w:szCs w:val="24"/>
        </w:rPr>
        <w:t xml:space="preserve"> in Melton Borough </w:t>
      </w:r>
      <w:r w:rsidR="0024249C" w:rsidRPr="00B53374">
        <w:rPr>
          <w:color w:val="00B050"/>
          <w:sz w:val="24"/>
          <w:szCs w:val="24"/>
        </w:rPr>
        <w:t xml:space="preserve">and Great Easton in </w:t>
      </w:r>
      <w:proofErr w:type="spellStart"/>
      <w:r w:rsidR="0024249C" w:rsidRPr="00B53374">
        <w:rPr>
          <w:color w:val="00B050"/>
          <w:sz w:val="24"/>
          <w:szCs w:val="24"/>
        </w:rPr>
        <w:t>Harborough</w:t>
      </w:r>
      <w:proofErr w:type="spellEnd"/>
      <w:r w:rsidR="0024249C" w:rsidRPr="00B53374">
        <w:rPr>
          <w:color w:val="00B050"/>
          <w:sz w:val="24"/>
          <w:szCs w:val="24"/>
        </w:rPr>
        <w:t xml:space="preserve"> District). </w:t>
      </w:r>
    </w:p>
    <w:p w:rsidR="000B7131" w:rsidRDefault="000B7131" w:rsidP="000B7131">
      <w:pPr>
        <w:tabs>
          <w:tab w:val="left" w:pos="1153"/>
        </w:tabs>
        <w:spacing w:before="69" w:line="276" w:lineRule="auto"/>
        <w:jc w:val="both"/>
      </w:pPr>
    </w:p>
    <w:p w:rsidR="00295392" w:rsidRDefault="006B2E1D">
      <w:pPr>
        <w:pStyle w:val="ListParagraph"/>
        <w:numPr>
          <w:ilvl w:val="0"/>
          <w:numId w:val="1"/>
        </w:numPr>
        <w:tabs>
          <w:tab w:val="left" w:pos="1086"/>
        </w:tabs>
        <w:spacing w:before="5" w:line="276" w:lineRule="auto"/>
        <w:ind w:hanging="360"/>
        <w:jc w:val="both"/>
        <w:rPr>
          <w:i/>
          <w:sz w:val="24"/>
        </w:rPr>
      </w:pPr>
      <w:r>
        <w:rPr>
          <w:sz w:val="24"/>
        </w:rPr>
        <w:t xml:space="preserve">Can I be appraised as to the acreage of the site covered by Old Hall Parkland LGS and would both the LPA and the QB comment on whether it constitutes an </w:t>
      </w:r>
      <w:r>
        <w:rPr>
          <w:i/>
          <w:sz w:val="24"/>
        </w:rPr>
        <w:t>extensive tract of</w:t>
      </w:r>
      <w:r>
        <w:rPr>
          <w:i/>
          <w:spacing w:val="-10"/>
          <w:sz w:val="24"/>
        </w:rPr>
        <w:t xml:space="preserve"> </w:t>
      </w:r>
      <w:r>
        <w:rPr>
          <w:i/>
          <w:sz w:val="24"/>
        </w:rPr>
        <w:t>land?</w:t>
      </w:r>
    </w:p>
    <w:p w:rsidR="000B7131" w:rsidRPr="000B7131" w:rsidRDefault="000B7131" w:rsidP="000B7131">
      <w:pPr>
        <w:tabs>
          <w:tab w:val="left" w:pos="1086"/>
        </w:tabs>
        <w:spacing w:before="5" w:line="276" w:lineRule="auto"/>
        <w:jc w:val="both"/>
        <w:rPr>
          <w:i/>
          <w:sz w:val="24"/>
        </w:rPr>
      </w:pPr>
    </w:p>
    <w:p w:rsidR="00183011" w:rsidRDefault="0031355E" w:rsidP="0031355E">
      <w:pPr>
        <w:tabs>
          <w:tab w:val="left" w:pos="1086"/>
        </w:tabs>
        <w:spacing w:before="5" w:line="276" w:lineRule="auto"/>
        <w:ind w:left="1085"/>
        <w:jc w:val="both"/>
        <w:rPr>
          <w:color w:val="00B050"/>
          <w:sz w:val="24"/>
        </w:rPr>
      </w:pPr>
      <w:r>
        <w:rPr>
          <w:color w:val="00B050"/>
          <w:sz w:val="24"/>
        </w:rPr>
        <w:t xml:space="preserve">The area is c.16.8 hectares and is effectively a single parcel of land. </w:t>
      </w:r>
    </w:p>
    <w:p w:rsidR="00183011" w:rsidRDefault="00183011" w:rsidP="0031355E">
      <w:pPr>
        <w:tabs>
          <w:tab w:val="left" w:pos="1086"/>
        </w:tabs>
        <w:spacing w:before="5" w:line="276" w:lineRule="auto"/>
        <w:ind w:left="1085"/>
        <w:jc w:val="both"/>
        <w:rPr>
          <w:color w:val="00B050"/>
          <w:sz w:val="24"/>
        </w:rPr>
      </w:pPr>
    </w:p>
    <w:p w:rsidR="00183011" w:rsidRDefault="0031355E" w:rsidP="0031355E">
      <w:pPr>
        <w:tabs>
          <w:tab w:val="left" w:pos="1086"/>
        </w:tabs>
        <w:spacing w:before="5" w:line="276" w:lineRule="auto"/>
        <w:ind w:left="1085"/>
        <w:jc w:val="both"/>
        <w:rPr>
          <w:color w:val="00B050"/>
          <w:sz w:val="24"/>
        </w:rPr>
      </w:pPr>
      <w:r>
        <w:rPr>
          <w:color w:val="00B050"/>
          <w:sz w:val="24"/>
        </w:rPr>
        <w:t xml:space="preserve">It is a significant, coherent example of a surviving </w:t>
      </w:r>
      <w:r w:rsidR="00183011">
        <w:rPr>
          <w:color w:val="00B050"/>
          <w:sz w:val="24"/>
        </w:rPr>
        <w:t>piece of early 19</w:t>
      </w:r>
      <w:r w:rsidR="00183011" w:rsidRPr="00183011">
        <w:rPr>
          <w:color w:val="00B050"/>
          <w:sz w:val="24"/>
          <w:vertAlign w:val="superscript"/>
        </w:rPr>
        <w:t>th</w:t>
      </w:r>
      <w:r w:rsidR="00183011">
        <w:rPr>
          <w:color w:val="00B050"/>
          <w:sz w:val="24"/>
        </w:rPr>
        <w:t xml:space="preserve"> century ornamental landscaping that occupies the site of a medieval </w:t>
      </w:r>
      <w:proofErr w:type="spellStart"/>
      <w:r w:rsidR="00183011">
        <w:rPr>
          <w:color w:val="00B050"/>
          <w:sz w:val="24"/>
        </w:rPr>
        <w:t>Preceptory</w:t>
      </w:r>
      <w:proofErr w:type="spellEnd"/>
      <w:r w:rsidR="00183011">
        <w:rPr>
          <w:color w:val="00B050"/>
          <w:sz w:val="24"/>
        </w:rPr>
        <w:t xml:space="preserve"> and its surrounding stock enclosures and farmland. Historic England would almost certainly regard the parcel of land as being part of the setting of the Listed Old Hall and Scheduled </w:t>
      </w:r>
      <w:proofErr w:type="spellStart"/>
      <w:r w:rsidR="00183011">
        <w:rPr>
          <w:color w:val="00B050"/>
          <w:sz w:val="24"/>
        </w:rPr>
        <w:t>Preceptory</w:t>
      </w:r>
      <w:proofErr w:type="spellEnd"/>
      <w:r w:rsidR="00183011">
        <w:rPr>
          <w:color w:val="00B050"/>
          <w:sz w:val="24"/>
        </w:rPr>
        <w:t xml:space="preserve"> site. It is also all registered as an area of Priority Habitat by Natural England.</w:t>
      </w:r>
    </w:p>
    <w:p w:rsidR="00183011" w:rsidRDefault="00183011" w:rsidP="0031355E">
      <w:pPr>
        <w:tabs>
          <w:tab w:val="left" w:pos="1086"/>
        </w:tabs>
        <w:spacing w:before="5" w:line="276" w:lineRule="auto"/>
        <w:ind w:left="1085"/>
        <w:jc w:val="both"/>
        <w:rPr>
          <w:color w:val="00B050"/>
          <w:sz w:val="24"/>
        </w:rPr>
      </w:pPr>
    </w:p>
    <w:p w:rsidR="000B7131" w:rsidRPr="0031355E" w:rsidRDefault="005D4568" w:rsidP="0031355E">
      <w:pPr>
        <w:tabs>
          <w:tab w:val="left" w:pos="1086"/>
        </w:tabs>
        <w:spacing w:before="5" w:line="276" w:lineRule="auto"/>
        <w:ind w:left="1085"/>
        <w:jc w:val="both"/>
        <w:rPr>
          <w:color w:val="00B050"/>
          <w:sz w:val="24"/>
        </w:rPr>
      </w:pPr>
      <w:r>
        <w:rPr>
          <w:color w:val="00B050"/>
          <w:sz w:val="24"/>
        </w:rPr>
        <w:t>It is an accessible area</w:t>
      </w:r>
      <w:r w:rsidR="00C740F3">
        <w:rPr>
          <w:color w:val="00B050"/>
          <w:sz w:val="24"/>
        </w:rPr>
        <w:t xml:space="preserve"> with public footpath, used extensively by walkers and very much valued by the local community, including providing a pleasant route </w:t>
      </w:r>
      <w:r>
        <w:rPr>
          <w:color w:val="00B050"/>
          <w:sz w:val="24"/>
        </w:rPr>
        <w:t xml:space="preserve">from Old Dalby </w:t>
      </w:r>
      <w:r w:rsidR="00C740F3">
        <w:rPr>
          <w:color w:val="00B050"/>
          <w:sz w:val="24"/>
        </w:rPr>
        <w:t>to Bluebell Wood and beyond.</w:t>
      </w:r>
      <w:r w:rsidR="00183011">
        <w:rPr>
          <w:color w:val="00B050"/>
          <w:sz w:val="24"/>
        </w:rPr>
        <w:t xml:space="preserve"> </w:t>
      </w:r>
    </w:p>
    <w:p w:rsidR="0024249C" w:rsidRPr="00855D35" w:rsidRDefault="0024249C" w:rsidP="000B7131">
      <w:pPr>
        <w:tabs>
          <w:tab w:val="left" w:pos="1086"/>
        </w:tabs>
        <w:spacing w:before="5" w:line="276" w:lineRule="auto"/>
        <w:ind w:left="1134"/>
        <w:jc w:val="both"/>
        <w:rPr>
          <w:color w:val="FF0000"/>
          <w:sz w:val="24"/>
        </w:rPr>
      </w:pPr>
    </w:p>
    <w:p w:rsidR="000B7131" w:rsidRPr="000B7131" w:rsidRDefault="000B7131" w:rsidP="000B7131">
      <w:pPr>
        <w:tabs>
          <w:tab w:val="left" w:pos="1086"/>
        </w:tabs>
        <w:spacing w:before="5" w:line="276" w:lineRule="auto"/>
        <w:ind w:left="1134"/>
        <w:jc w:val="both"/>
        <w:rPr>
          <w:sz w:val="24"/>
        </w:rPr>
      </w:pPr>
    </w:p>
    <w:p w:rsidR="00295392" w:rsidRDefault="006B2E1D">
      <w:pPr>
        <w:pStyle w:val="ListParagraph"/>
        <w:numPr>
          <w:ilvl w:val="0"/>
          <w:numId w:val="1"/>
        </w:numPr>
        <w:tabs>
          <w:tab w:val="left" w:pos="1086"/>
        </w:tabs>
        <w:spacing w:line="276" w:lineRule="auto"/>
        <w:ind w:hanging="360"/>
        <w:jc w:val="both"/>
        <w:rPr>
          <w:sz w:val="24"/>
        </w:rPr>
      </w:pPr>
      <w:r>
        <w:rPr>
          <w:sz w:val="24"/>
        </w:rPr>
        <w:t xml:space="preserve">Is the QB envisaging that Policy BE2 Working from Home would allow employees, who do not reside at the property could be employed </w:t>
      </w:r>
      <w:proofErr w:type="gramStart"/>
      <w:r>
        <w:rPr>
          <w:sz w:val="24"/>
        </w:rPr>
        <w:t>at  people’s</w:t>
      </w:r>
      <w:proofErr w:type="gramEnd"/>
      <w:r>
        <w:rPr>
          <w:sz w:val="24"/>
        </w:rPr>
        <w:t xml:space="preserve"> houses? I need to be clear that was the intention, (which I suspect it</w:t>
      </w:r>
      <w:r>
        <w:rPr>
          <w:spacing w:val="-2"/>
          <w:sz w:val="24"/>
        </w:rPr>
        <w:t xml:space="preserve"> </w:t>
      </w:r>
      <w:r>
        <w:rPr>
          <w:sz w:val="24"/>
        </w:rPr>
        <w:t>was).</w:t>
      </w:r>
    </w:p>
    <w:p w:rsidR="000B7131" w:rsidRDefault="000B7131" w:rsidP="000B7131">
      <w:pPr>
        <w:tabs>
          <w:tab w:val="left" w:pos="1086"/>
        </w:tabs>
        <w:spacing w:line="276" w:lineRule="auto"/>
        <w:jc w:val="both"/>
        <w:rPr>
          <w:sz w:val="24"/>
        </w:rPr>
      </w:pPr>
    </w:p>
    <w:p w:rsidR="000B7131" w:rsidRPr="005D4568" w:rsidRDefault="000B7131" w:rsidP="000B7131">
      <w:pPr>
        <w:tabs>
          <w:tab w:val="left" w:pos="1086"/>
        </w:tabs>
        <w:spacing w:line="276" w:lineRule="auto"/>
        <w:ind w:left="993"/>
        <w:jc w:val="both"/>
        <w:rPr>
          <w:color w:val="00B050"/>
          <w:sz w:val="24"/>
        </w:rPr>
      </w:pPr>
      <w:r w:rsidRPr="005D4568">
        <w:rPr>
          <w:color w:val="00B050"/>
          <w:sz w:val="24"/>
        </w:rPr>
        <w:t>Yes</w:t>
      </w:r>
      <w:r w:rsidR="005D4568" w:rsidRPr="005D4568">
        <w:rPr>
          <w:color w:val="00B050"/>
          <w:sz w:val="24"/>
        </w:rPr>
        <w:t xml:space="preserve"> and that was the intention. The possibility of large numbers would be restricted under the conditions incorporated under this policy.</w:t>
      </w:r>
    </w:p>
    <w:p w:rsidR="000B7131" w:rsidRPr="000B7131" w:rsidRDefault="000B7131" w:rsidP="000B7131">
      <w:pPr>
        <w:tabs>
          <w:tab w:val="left" w:pos="1086"/>
        </w:tabs>
        <w:spacing w:line="276" w:lineRule="auto"/>
        <w:jc w:val="both"/>
        <w:rPr>
          <w:sz w:val="24"/>
        </w:rPr>
      </w:pPr>
    </w:p>
    <w:p w:rsidR="00295392" w:rsidRDefault="006B2E1D">
      <w:pPr>
        <w:pStyle w:val="ListParagraph"/>
        <w:numPr>
          <w:ilvl w:val="0"/>
          <w:numId w:val="1"/>
        </w:numPr>
        <w:tabs>
          <w:tab w:val="left" w:pos="1086"/>
        </w:tabs>
        <w:spacing w:line="276" w:lineRule="auto"/>
        <w:ind w:hanging="360"/>
        <w:jc w:val="both"/>
        <w:rPr>
          <w:sz w:val="24"/>
        </w:rPr>
      </w:pPr>
      <w:r>
        <w:rPr>
          <w:sz w:val="24"/>
        </w:rPr>
        <w:t>Finally, I am intrigued by the Policy BE4 Old Dalby Test Track. Could the LPA confirm to me whether there are any planning controls that restrict the use of the line to “the testing of trains and railway equipment” or is</w:t>
      </w:r>
      <w:r>
        <w:rPr>
          <w:spacing w:val="30"/>
          <w:sz w:val="24"/>
        </w:rPr>
        <w:t xml:space="preserve"> </w:t>
      </w:r>
      <w:r>
        <w:rPr>
          <w:sz w:val="24"/>
        </w:rPr>
        <w:t xml:space="preserve">it available to all railway use including passengers and </w:t>
      </w:r>
      <w:proofErr w:type="gramStart"/>
      <w:r>
        <w:rPr>
          <w:sz w:val="24"/>
        </w:rPr>
        <w:t>freight.</w:t>
      </w:r>
      <w:proofErr w:type="gramEnd"/>
      <w:r>
        <w:rPr>
          <w:sz w:val="24"/>
        </w:rPr>
        <w:t xml:space="preserve"> Furthermore, are there any planning restrictions that relate to the operating hours of the line and if there are, what are the permitted hours of use and are they enforceable?</w:t>
      </w:r>
    </w:p>
    <w:p w:rsidR="00851004" w:rsidRDefault="00851004" w:rsidP="00851004">
      <w:pPr>
        <w:tabs>
          <w:tab w:val="left" w:pos="1086"/>
        </w:tabs>
        <w:spacing w:line="276" w:lineRule="auto"/>
        <w:jc w:val="both"/>
        <w:rPr>
          <w:sz w:val="24"/>
        </w:rPr>
      </w:pPr>
    </w:p>
    <w:p w:rsidR="00295392" w:rsidRPr="00B53374" w:rsidRDefault="005D4568" w:rsidP="00851004">
      <w:pPr>
        <w:tabs>
          <w:tab w:val="left" w:pos="1086"/>
        </w:tabs>
        <w:spacing w:line="276" w:lineRule="auto"/>
        <w:ind w:left="1134"/>
        <w:jc w:val="both"/>
        <w:rPr>
          <w:color w:val="00B050"/>
          <w:sz w:val="24"/>
        </w:rPr>
      </w:pPr>
      <w:r w:rsidRPr="00B53374">
        <w:rPr>
          <w:color w:val="00B050"/>
          <w:sz w:val="24"/>
        </w:rPr>
        <w:t>LPA to comment</w:t>
      </w:r>
    </w:p>
    <w:p w:rsidR="00295392" w:rsidRDefault="006B2E1D">
      <w:pPr>
        <w:pStyle w:val="Heading1"/>
        <w:spacing w:before="189"/>
        <w:ind w:left="877"/>
      </w:pPr>
      <w:r>
        <w:rPr>
          <w:color w:val="365F91"/>
        </w:rPr>
        <w:t>Concluding Comments</w:t>
      </w:r>
    </w:p>
    <w:p w:rsidR="00295392" w:rsidRDefault="006B2E1D">
      <w:pPr>
        <w:pStyle w:val="ListParagraph"/>
        <w:numPr>
          <w:ilvl w:val="0"/>
          <w:numId w:val="1"/>
        </w:numPr>
        <w:tabs>
          <w:tab w:val="left" w:pos="1086"/>
        </w:tabs>
        <w:spacing w:before="49" w:line="276" w:lineRule="auto"/>
        <w:ind w:hanging="360"/>
        <w:jc w:val="both"/>
        <w:rPr>
          <w:sz w:val="24"/>
        </w:rPr>
      </w:pPr>
      <w:r>
        <w:rPr>
          <w:sz w:val="24"/>
        </w:rPr>
        <w:t>It would be helpful if I could have responses to these questions within the next 14 days to allow me to conclude my examination report</w:t>
      </w:r>
      <w:r>
        <w:rPr>
          <w:spacing w:val="-11"/>
          <w:sz w:val="24"/>
        </w:rPr>
        <w:t xml:space="preserve"> </w:t>
      </w:r>
      <w:r>
        <w:rPr>
          <w:sz w:val="24"/>
        </w:rPr>
        <w:t>expeditiously</w:t>
      </w:r>
    </w:p>
    <w:p w:rsidR="00295392" w:rsidRDefault="006B2E1D">
      <w:pPr>
        <w:pStyle w:val="ListParagraph"/>
        <w:numPr>
          <w:ilvl w:val="0"/>
          <w:numId w:val="1"/>
        </w:numPr>
        <w:tabs>
          <w:tab w:val="left" w:pos="1086"/>
        </w:tabs>
        <w:spacing w:line="273" w:lineRule="auto"/>
        <w:ind w:hanging="360"/>
        <w:jc w:val="both"/>
        <w:rPr>
          <w:sz w:val="24"/>
        </w:rPr>
      </w:pPr>
      <w:r>
        <w:rPr>
          <w:sz w:val="24"/>
        </w:rPr>
        <w:t xml:space="preserve">I would be grateful if this note and the subsequent responses could be placed on Melton Borough Council’s and the </w:t>
      </w:r>
      <w:proofErr w:type="spellStart"/>
      <w:r>
        <w:rPr>
          <w:sz w:val="24"/>
        </w:rPr>
        <w:t>Neighbourhood</w:t>
      </w:r>
      <w:proofErr w:type="spellEnd"/>
      <w:r>
        <w:rPr>
          <w:sz w:val="24"/>
        </w:rPr>
        <w:t xml:space="preserve"> Plan’s respective</w:t>
      </w:r>
      <w:r>
        <w:rPr>
          <w:spacing w:val="-2"/>
          <w:sz w:val="24"/>
        </w:rPr>
        <w:t xml:space="preserve"> </w:t>
      </w:r>
      <w:r>
        <w:rPr>
          <w:sz w:val="24"/>
        </w:rPr>
        <w:t>websites.</w:t>
      </w:r>
    </w:p>
    <w:p w:rsidR="00295392" w:rsidRDefault="00295392">
      <w:pPr>
        <w:pStyle w:val="BodyText"/>
        <w:rPr>
          <w:sz w:val="26"/>
        </w:rPr>
      </w:pPr>
    </w:p>
    <w:p w:rsidR="00295392" w:rsidRDefault="00295392">
      <w:pPr>
        <w:pStyle w:val="BodyText"/>
        <w:spacing w:before="9"/>
        <w:rPr>
          <w:sz w:val="36"/>
        </w:rPr>
      </w:pPr>
    </w:p>
    <w:p w:rsidR="00295392" w:rsidRDefault="006B2E1D">
      <w:pPr>
        <w:pStyle w:val="BodyText"/>
        <w:spacing w:line="451" w:lineRule="auto"/>
        <w:ind w:left="157" w:right="5305"/>
      </w:pPr>
      <w:r>
        <w:t xml:space="preserve">John Slater </w:t>
      </w:r>
      <w:proofErr w:type="gramStart"/>
      <w:r>
        <w:t>BA(</w:t>
      </w:r>
      <w:proofErr w:type="gramEnd"/>
      <w:r>
        <w:t>Hons), DMS, MRTPI Independent Examiner</w:t>
      </w:r>
    </w:p>
    <w:p w:rsidR="00295392" w:rsidRDefault="006B2E1D">
      <w:pPr>
        <w:pStyle w:val="BodyText"/>
        <w:spacing w:before="6" w:line="415" w:lineRule="auto"/>
        <w:ind w:left="157" w:right="6557"/>
      </w:pPr>
      <w:r>
        <w:t>John Slater Planning Ltd 14</w:t>
      </w:r>
      <w:proofErr w:type="spellStart"/>
      <w:r>
        <w:rPr>
          <w:position w:val="11"/>
          <w:sz w:val="16"/>
        </w:rPr>
        <w:t>th</w:t>
      </w:r>
      <w:proofErr w:type="spellEnd"/>
      <w:r>
        <w:rPr>
          <w:position w:val="11"/>
          <w:sz w:val="16"/>
        </w:rPr>
        <w:t xml:space="preserve"> </w:t>
      </w:r>
      <w:r>
        <w:t>October 2017</w:t>
      </w:r>
    </w:p>
    <w:sectPr w:rsidR="00295392" w:rsidSect="00851004">
      <w:footerReference w:type="default" r:id="rId8"/>
      <w:pgSz w:w="11910" w:h="16840"/>
      <w:pgMar w:top="1360" w:right="1562" w:bottom="1418" w:left="1280" w:header="0" w:footer="10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A6" w:rsidRDefault="009732A6">
      <w:r>
        <w:separator/>
      </w:r>
    </w:p>
  </w:endnote>
  <w:endnote w:type="continuationSeparator" w:id="0">
    <w:p w:rsidR="009732A6" w:rsidRDefault="0097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392" w:rsidRDefault="008D31B3">
    <w:pPr>
      <w:pStyle w:val="BodyText"/>
      <w:spacing w:line="14" w:lineRule="auto"/>
      <w:rPr>
        <w:sz w:val="20"/>
      </w:rPr>
    </w:pPr>
    <w:r>
      <w:rPr>
        <w:noProof/>
        <w:lang w:val="en-GB" w:eastAsia="en-GB"/>
      </w:rPr>
      <mc:AlternateContent>
        <mc:Choice Requires="wps">
          <w:drawing>
            <wp:anchor distT="0" distB="0" distL="114300" distR="114300" simplePos="0" relativeHeight="503312528" behindDoc="1" locked="0" layoutInCell="1" allowOverlap="1">
              <wp:simplePos x="0" y="0"/>
              <wp:positionH relativeFrom="page">
                <wp:posOffset>900430</wp:posOffset>
              </wp:positionH>
              <wp:positionV relativeFrom="page">
                <wp:posOffset>10057765</wp:posOffset>
              </wp:positionV>
              <wp:extent cx="1596390" cy="2044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392" w:rsidRDefault="006B2E1D">
                          <w:pPr>
                            <w:pStyle w:val="BodyText"/>
                            <w:spacing w:before="20"/>
                            <w:ind w:left="20"/>
                            <w:rPr>
                              <w:rFonts w:ascii="Cambria"/>
                            </w:rPr>
                          </w:pPr>
                          <w:r>
                            <w:rPr>
                              <w:rFonts w:ascii="Cambria"/>
                            </w:rPr>
                            <w:t>John Slater Planning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0.9pt;margin-top:791.95pt;width:125.7pt;height:16.1pt;z-index:-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xhrgIAAKk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" filled="f" stroked="f">
              <v:textbox inset="0,0,0,0">
                <w:txbxContent>
                  <w:p w:rsidR="00295392" w:rsidRDefault="006B2E1D">
                    <w:pPr>
                      <w:pStyle w:val="BodyText"/>
                      <w:spacing w:before="20"/>
                      <w:ind w:left="20"/>
                      <w:rPr>
                        <w:rFonts w:ascii="Cambria"/>
                      </w:rPr>
                    </w:pPr>
                    <w:r>
                      <w:rPr>
                        <w:rFonts w:ascii="Cambria"/>
                      </w:rPr>
                      <w:t>John Slater Planning Ltd</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392" w:rsidRDefault="008D31B3">
    <w:pPr>
      <w:pStyle w:val="BodyText"/>
      <w:spacing w:line="14" w:lineRule="auto"/>
      <w:rPr>
        <w:sz w:val="20"/>
      </w:rPr>
    </w:pPr>
    <w:r>
      <w:rPr>
        <w:noProof/>
        <w:lang w:val="en-GB" w:eastAsia="en-GB"/>
      </w:rPr>
      <mc:AlternateContent>
        <mc:Choice Requires="wps">
          <w:drawing>
            <wp:anchor distT="0" distB="0" distL="114300" distR="114300" simplePos="0" relativeHeight="503312552" behindDoc="1" locked="0" layoutInCell="1" allowOverlap="1">
              <wp:simplePos x="0" y="0"/>
              <wp:positionH relativeFrom="page">
                <wp:posOffset>894715</wp:posOffset>
              </wp:positionH>
              <wp:positionV relativeFrom="page">
                <wp:posOffset>9936480</wp:posOffset>
              </wp:positionV>
              <wp:extent cx="5767070" cy="0"/>
              <wp:effectExtent l="8890" t="11430" r="571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9144">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F79D0" id="Line 3" o:spid="_x0000_s1026" style="position:absolute;z-index:-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5pt,782.4pt" to="524.55pt,7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" strokecolor="#622423" strokeweight=".72pt">
              <w10:wrap anchorx="page" anchory="page"/>
            </v:line>
          </w:pict>
        </mc:Fallback>
      </mc:AlternateContent>
    </w:r>
    <w:r>
      <w:rPr>
        <w:noProof/>
        <w:lang w:val="en-GB" w:eastAsia="en-GB"/>
      </w:rPr>
      <mc:AlternateContent>
        <mc:Choice Requires="wps">
          <w:drawing>
            <wp:anchor distT="0" distB="0" distL="114300" distR="114300" simplePos="0" relativeHeight="503312576" behindDoc="1" locked="0" layoutInCell="1" allowOverlap="1">
              <wp:simplePos x="0" y="0"/>
              <wp:positionH relativeFrom="page">
                <wp:posOffset>894715</wp:posOffset>
              </wp:positionH>
              <wp:positionV relativeFrom="page">
                <wp:posOffset>9904095</wp:posOffset>
              </wp:positionV>
              <wp:extent cx="5767070" cy="0"/>
              <wp:effectExtent l="18415" t="26670" r="24765" b="209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36576">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7B4F2" id="Line 2" o:spid="_x0000_s1026" style="position:absolute;z-index:-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5pt,779.85pt" to="524.55pt,7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" strokecolor="#622423" strokeweight="2.88pt">
              <w10:wrap anchorx="page" anchory="page"/>
            </v:line>
          </w:pict>
        </mc:Fallback>
      </mc:AlternateContent>
    </w:r>
    <w:r>
      <w:rPr>
        <w:noProof/>
        <w:lang w:val="en-GB" w:eastAsia="en-GB"/>
      </w:rPr>
      <mc:AlternateContent>
        <mc:Choice Requires="wps">
          <w:drawing>
            <wp:anchor distT="0" distB="0" distL="114300" distR="114300" simplePos="0" relativeHeight="503312600" behindDoc="1" locked="0" layoutInCell="1" allowOverlap="1">
              <wp:simplePos x="0" y="0"/>
              <wp:positionH relativeFrom="page">
                <wp:posOffset>900430</wp:posOffset>
              </wp:positionH>
              <wp:positionV relativeFrom="page">
                <wp:posOffset>9941560</wp:posOffset>
              </wp:positionV>
              <wp:extent cx="1596390"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392" w:rsidRDefault="006B2E1D">
                          <w:pPr>
                            <w:pStyle w:val="BodyText"/>
                            <w:spacing w:before="20"/>
                            <w:ind w:left="20"/>
                            <w:rPr>
                              <w:rFonts w:ascii="Cambria"/>
                            </w:rPr>
                          </w:pPr>
                          <w:r>
                            <w:rPr>
                              <w:rFonts w:ascii="Cambria"/>
                            </w:rPr>
                            <w:t>John Slater Planning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0.9pt;margin-top:782.8pt;width:125.7pt;height:16.1pt;z-index:-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M7rwIAALA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" filled="f" stroked="f">
              <v:textbox inset="0,0,0,0">
                <w:txbxContent>
                  <w:p w:rsidR="00295392" w:rsidRDefault="006B2E1D">
                    <w:pPr>
                      <w:pStyle w:val="BodyText"/>
                      <w:spacing w:before="20"/>
                      <w:ind w:left="20"/>
                      <w:rPr>
                        <w:rFonts w:ascii="Cambria"/>
                      </w:rPr>
                    </w:pPr>
                    <w:r>
                      <w:rPr>
                        <w:rFonts w:ascii="Cambria"/>
                      </w:rPr>
                      <w:t>John Slater Planning Ltd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A6" w:rsidRDefault="009732A6">
      <w:r>
        <w:separator/>
      </w:r>
    </w:p>
  </w:footnote>
  <w:footnote w:type="continuationSeparator" w:id="0">
    <w:p w:rsidR="009732A6" w:rsidRDefault="00973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C3146"/>
    <w:multiLevelType w:val="hybridMultilevel"/>
    <w:tmpl w:val="2A849544"/>
    <w:lvl w:ilvl="0" w:tplc="E1BA3EC4">
      <w:start w:val="1"/>
      <w:numFmt w:val="decimal"/>
      <w:lvlText w:val="%1."/>
      <w:lvlJc w:val="left"/>
      <w:pPr>
        <w:ind w:left="1085" w:hanging="427"/>
        <w:jc w:val="left"/>
      </w:pPr>
      <w:rPr>
        <w:rFonts w:ascii="Arial" w:eastAsia="Arial" w:hAnsi="Arial" w:cs="Arial" w:hint="default"/>
        <w:spacing w:val="-13"/>
        <w:w w:val="98"/>
        <w:sz w:val="24"/>
        <w:szCs w:val="24"/>
      </w:rPr>
    </w:lvl>
    <w:lvl w:ilvl="1" w:tplc="5C84CBDC">
      <w:numFmt w:val="bullet"/>
      <w:lvlText w:val="•"/>
      <w:lvlJc w:val="left"/>
      <w:pPr>
        <w:ind w:left="1906" w:hanging="427"/>
      </w:pPr>
      <w:rPr>
        <w:rFonts w:hint="default"/>
      </w:rPr>
    </w:lvl>
    <w:lvl w:ilvl="2" w:tplc="3C04F990">
      <w:numFmt w:val="bullet"/>
      <w:lvlText w:val="•"/>
      <w:lvlJc w:val="left"/>
      <w:pPr>
        <w:ind w:left="2733" w:hanging="427"/>
      </w:pPr>
      <w:rPr>
        <w:rFonts w:hint="default"/>
      </w:rPr>
    </w:lvl>
    <w:lvl w:ilvl="3" w:tplc="9C30868C">
      <w:numFmt w:val="bullet"/>
      <w:lvlText w:val="•"/>
      <w:lvlJc w:val="left"/>
      <w:pPr>
        <w:ind w:left="3559" w:hanging="427"/>
      </w:pPr>
      <w:rPr>
        <w:rFonts w:hint="default"/>
      </w:rPr>
    </w:lvl>
    <w:lvl w:ilvl="4" w:tplc="1EC245A4">
      <w:numFmt w:val="bullet"/>
      <w:lvlText w:val="•"/>
      <w:lvlJc w:val="left"/>
      <w:pPr>
        <w:ind w:left="4386" w:hanging="427"/>
      </w:pPr>
      <w:rPr>
        <w:rFonts w:hint="default"/>
      </w:rPr>
    </w:lvl>
    <w:lvl w:ilvl="5" w:tplc="138C3A20">
      <w:numFmt w:val="bullet"/>
      <w:lvlText w:val="•"/>
      <w:lvlJc w:val="left"/>
      <w:pPr>
        <w:ind w:left="5212" w:hanging="427"/>
      </w:pPr>
      <w:rPr>
        <w:rFonts w:hint="default"/>
      </w:rPr>
    </w:lvl>
    <w:lvl w:ilvl="6" w:tplc="6FBCF01E">
      <w:numFmt w:val="bullet"/>
      <w:lvlText w:val="•"/>
      <w:lvlJc w:val="left"/>
      <w:pPr>
        <w:ind w:left="6039" w:hanging="427"/>
      </w:pPr>
      <w:rPr>
        <w:rFonts w:hint="default"/>
      </w:rPr>
    </w:lvl>
    <w:lvl w:ilvl="7" w:tplc="74763388">
      <w:numFmt w:val="bullet"/>
      <w:lvlText w:val="•"/>
      <w:lvlJc w:val="left"/>
      <w:pPr>
        <w:ind w:left="6865" w:hanging="427"/>
      </w:pPr>
      <w:rPr>
        <w:rFonts w:hint="default"/>
      </w:rPr>
    </w:lvl>
    <w:lvl w:ilvl="8" w:tplc="4AE0EDEC">
      <w:numFmt w:val="bullet"/>
      <w:lvlText w:val="•"/>
      <w:lvlJc w:val="left"/>
      <w:pPr>
        <w:ind w:left="7692" w:hanging="42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92"/>
    <w:rsid w:val="000B7131"/>
    <w:rsid w:val="000D2618"/>
    <w:rsid w:val="000E7037"/>
    <w:rsid w:val="00142567"/>
    <w:rsid w:val="00183011"/>
    <w:rsid w:val="0024249C"/>
    <w:rsid w:val="00295392"/>
    <w:rsid w:val="0031355E"/>
    <w:rsid w:val="00334798"/>
    <w:rsid w:val="003867EA"/>
    <w:rsid w:val="003944D5"/>
    <w:rsid w:val="00481E20"/>
    <w:rsid w:val="004A5686"/>
    <w:rsid w:val="004C2DFA"/>
    <w:rsid w:val="005042A0"/>
    <w:rsid w:val="005204C4"/>
    <w:rsid w:val="00546B98"/>
    <w:rsid w:val="005C21E2"/>
    <w:rsid w:val="005D4568"/>
    <w:rsid w:val="0061604A"/>
    <w:rsid w:val="00644CB5"/>
    <w:rsid w:val="00656779"/>
    <w:rsid w:val="006B2E1D"/>
    <w:rsid w:val="006D7697"/>
    <w:rsid w:val="006F325A"/>
    <w:rsid w:val="00756B17"/>
    <w:rsid w:val="00851004"/>
    <w:rsid w:val="00855D35"/>
    <w:rsid w:val="008D31B3"/>
    <w:rsid w:val="008F6BF8"/>
    <w:rsid w:val="009732A6"/>
    <w:rsid w:val="009B5CDB"/>
    <w:rsid w:val="009E05BD"/>
    <w:rsid w:val="00A62FB0"/>
    <w:rsid w:val="00B02903"/>
    <w:rsid w:val="00B27FBE"/>
    <w:rsid w:val="00B53374"/>
    <w:rsid w:val="00B716CA"/>
    <w:rsid w:val="00B83D3D"/>
    <w:rsid w:val="00BF2166"/>
    <w:rsid w:val="00C740F3"/>
    <w:rsid w:val="00C90C65"/>
    <w:rsid w:val="00D01549"/>
    <w:rsid w:val="00E61636"/>
    <w:rsid w:val="00E72125"/>
    <w:rsid w:val="00E73B8B"/>
    <w:rsid w:val="00EC224F"/>
    <w:rsid w:val="00EE4D51"/>
    <w:rsid w:val="00F13628"/>
    <w:rsid w:val="00F45BDA"/>
    <w:rsid w:val="00F64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B9D03B-3C06-4239-ABCD-7D65FFFB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57"/>
      <w:outlineLvl w:val="0"/>
    </w:pPr>
    <w:rPr>
      <w:rFonts w:ascii="Cambria" w:eastAsia="Cambria" w:hAnsi="Cambria" w:cs="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5" w:right="15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2461</Words>
  <Characters>14030</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Prepared by</vt:lpstr>
      <vt:lpstr>Introduction</vt:lpstr>
      <vt:lpstr>Questions</vt:lpstr>
      <vt:lpstr>Concluding Comments</vt:lpstr>
    </vt:vector>
  </TitlesOfParts>
  <Company/>
  <LinksUpToDate>false</LinksUpToDate>
  <CharactersWithSpaces>16459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Proffitt</dc:creator>
  <cp:lastModifiedBy>Simon Proffitt</cp:lastModifiedBy>
  <cp:revision>2</cp:revision>
  <dcterms:created xsi:type="dcterms:W3CDTF">2017-10-26T18:38:00Z</dcterms:created>
  <dcterms:modified xsi:type="dcterms:W3CDTF">2017-10-26T18:38:00Z</dcterms:modified>
</cp:coreProperties>
</file>